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5CBED" w14:textId="154C830A" w:rsidR="0022470C" w:rsidRDefault="0022470C" w:rsidP="0022470C">
      <w:pPr>
        <w:pStyle w:val="CH"/>
      </w:pPr>
      <w:bookmarkStart w:id="0" w:name="historyclause"/>
      <w:r w:rsidRPr="00B070F5">
        <w:t>3GPP RAN WG</w:t>
      </w:r>
      <w:r>
        <w:t>4</w:t>
      </w:r>
      <w:r w:rsidRPr="00B070F5">
        <w:t xml:space="preserve"> Meeting #</w:t>
      </w:r>
      <w:r>
        <w:t>95e</w:t>
      </w:r>
      <w:r>
        <w:tab/>
      </w:r>
      <w:r>
        <w:tab/>
      </w:r>
      <w:r w:rsidR="00DF7B09" w:rsidRPr="00DF7B09">
        <w:t>R4-2006842</w:t>
      </w:r>
      <w:bookmarkStart w:id="1" w:name="_GoBack"/>
      <w:bookmarkEnd w:id="1"/>
    </w:p>
    <w:p w14:paraId="35A8140D" w14:textId="620D1571" w:rsidR="004F6023" w:rsidRPr="00FD166F" w:rsidRDefault="0022470C" w:rsidP="0022470C">
      <w:pPr>
        <w:pStyle w:val="CH"/>
        <w:tabs>
          <w:tab w:val="clear" w:pos="7920"/>
        </w:tabs>
        <w:rPr>
          <w:b w:val="0"/>
        </w:rPr>
      </w:pPr>
      <w:r w:rsidRPr="00AD1007">
        <w:t>Electronic meeting, 25th May – 5th June 2020</w:t>
      </w:r>
      <w:r w:rsidR="004F6023">
        <w:tab/>
      </w:r>
    </w:p>
    <w:p w14:paraId="39A0EE25" w14:textId="77777777" w:rsidR="00D309CC" w:rsidRPr="003E244D" w:rsidRDefault="00D309CC" w:rsidP="00D309CC">
      <w:pPr>
        <w:tabs>
          <w:tab w:val="left" w:pos="2160"/>
        </w:tabs>
        <w:rPr>
          <w:rFonts w:ascii="Arial" w:hAnsi="Arial" w:cs="Arial"/>
          <w:b/>
        </w:rPr>
      </w:pPr>
    </w:p>
    <w:p w14:paraId="6DDCE159" w14:textId="45132BB0" w:rsidR="00D309CC" w:rsidRPr="003E244D" w:rsidRDefault="00D309CC" w:rsidP="00D309CC">
      <w:pPr>
        <w:pStyle w:val="CH"/>
        <w:rPr>
          <w:b w:val="0"/>
        </w:rPr>
      </w:pPr>
      <w:r w:rsidRPr="003E244D">
        <w:t>Agenda item:</w:t>
      </w:r>
      <w:r w:rsidRPr="003E244D">
        <w:tab/>
      </w:r>
      <w:r w:rsidR="006337E9" w:rsidRPr="006337E9">
        <w:t>6.14.1.</w:t>
      </w:r>
      <w:r w:rsidR="00AE00C8">
        <w:t>9</w:t>
      </w:r>
    </w:p>
    <w:p w14:paraId="4DBE005A" w14:textId="77777777" w:rsidR="00D309CC" w:rsidRPr="003E244D" w:rsidRDefault="00D309CC" w:rsidP="00D309CC">
      <w:pPr>
        <w:pStyle w:val="CH"/>
        <w:rPr>
          <w:b w:val="0"/>
        </w:rPr>
      </w:pPr>
      <w:r w:rsidRPr="003E244D">
        <w:t>Source:</w:t>
      </w:r>
      <w:r w:rsidRPr="003E244D">
        <w:tab/>
        <w:t>Apple Inc.</w:t>
      </w:r>
    </w:p>
    <w:p w14:paraId="0D2061A1" w14:textId="60AF888C" w:rsidR="00D309CC" w:rsidRPr="003E244D" w:rsidRDefault="00D309CC" w:rsidP="00D309CC">
      <w:pPr>
        <w:pStyle w:val="CH"/>
      </w:pPr>
      <w:r w:rsidRPr="003E244D">
        <w:t>Title:</w:t>
      </w:r>
      <w:r w:rsidRPr="003E244D">
        <w:tab/>
      </w:r>
      <w:r w:rsidR="006337E9" w:rsidRPr="006337E9">
        <w:t>Views on radiative degradation mechanisms for larger frequency separation</w:t>
      </w:r>
    </w:p>
    <w:p w14:paraId="052B1E0C" w14:textId="3424AC1E" w:rsidR="00104BC6" w:rsidRPr="003E244D" w:rsidRDefault="00104BC6" w:rsidP="00D309CC">
      <w:pPr>
        <w:pStyle w:val="CH"/>
      </w:pPr>
      <w:r w:rsidRPr="003E244D">
        <w:t>WI/SI:</w:t>
      </w:r>
      <w:r w:rsidRPr="003E244D">
        <w:tab/>
      </w:r>
      <w:r w:rsidR="00774153" w:rsidRPr="003E244D">
        <w:t>NR_RF_FR2_req_enh</w:t>
      </w:r>
    </w:p>
    <w:p w14:paraId="6C6D1281" w14:textId="1478D3ED" w:rsidR="00104BC6" w:rsidRPr="003E244D" w:rsidRDefault="00104BC6" w:rsidP="00D309CC">
      <w:pPr>
        <w:pStyle w:val="CH"/>
        <w:rPr>
          <w:b w:val="0"/>
        </w:rPr>
      </w:pPr>
      <w:r w:rsidRPr="003E244D">
        <w:t>Release:</w:t>
      </w:r>
      <w:r w:rsidRPr="003E244D">
        <w:tab/>
        <w:t>Rel-</w:t>
      </w:r>
      <w:r w:rsidR="00774153" w:rsidRPr="003E244D">
        <w:t>16</w:t>
      </w:r>
    </w:p>
    <w:p w14:paraId="2E4E044D" w14:textId="6DE869C2" w:rsidR="00D309CC" w:rsidRPr="003E244D" w:rsidRDefault="00D309CC" w:rsidP="00D309CC">
      <w:pPr>
        <w:pStyle w:val="CH"/>
      </w:pPr>
      <w:r w:rsidRPr="003E244D">
        <w:t>Document for:</w:t>
      </w:r>
      <w:r w:rsidRPr="003E244D">
        <w:tab/>
      </w:r>
      <w:r w:rsidR="00F731CE" w:rsidRPr="003E244D">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F46A787" w14:textId="2685CCD9" w:rsidR="00D2126E" w:rsidRDefault="001C688A" w:rsidP="008E7986">
      <w:r w:rsidRPr="003E244D">
        <w:t xml:space="preserve">The work item on NR RF requirements for FR2 </w:t>
      </w:r>
      <w:r w:rsidRPr="003E244D">
        <w:fldChar w:fldCharType="begin"/>
      </w:r>
      <w:r w:rsidRPr="003E244D">
        <w:instrText xml:space="preserve"> REF _Ref24049351 \r \h </w:instrText>
      </w:r>
      <w:r w:rsidRPr="003E244D">
        <w:fldChar w:fldCharType="separate"/>
      </w:r>
      <w:r w:rsidR="007D734C">
        <w:t>[1]</w:t>
      </w:r>
      <w:r w:rsidRPr="003E244D">
        <w:fldChar w:fldCharType="end"/>
      </w:r>
      <w:r w:rsidRPr="003E244D">
        <w:t xml:space="preserve"> has made </w:t>
      </w:r>
      <w:r w:rsidR="006337E9">
        <w:t>the following agreements related to radiative degradation mechanisms for larger frequency separation</w:t>
      </w:r>
      <w:r w:rsidR="007D734C">
        <w:t xml:space="preserve"> </w:t>
      </w:r>
      <w:r w:rsidR="007D734C">
        <w:fldChar w:fldCharType="begin"/>
      </w:r>
      <w:r w:rsidR="007D734C">
        <w:instrText xml:space="preserve"> REF _Ref37413760 \r \h </w:instrText>
      </w:r>
      <w:r w:rsidR="007D734C">
        <w:fldChar w:fldCharType="separate"/>
      </w:r>
      <w:r w:rsidR="007D734C">
        <w:t>[3]</w:t>
      </w:r>
      <w:r w:rsidR="007D734C">
        <w:fldChar w:fldCharType="end"/>
      </w:r>
      <w:r w:rsidR="00CC0D6A">
        <w:t>:</w:t>
      </w:r>
    </w:p>
    <w:p w14:paraId="43F11C47" w14:textId="77777777" w:rsidR="005310AD" w:rsidRDefault="005310AD" w:rsidP="008E7986"/>
    <w:tbl>
      <w:tblPr>
        <w:tblStyle w:val="TableGrid"/>
        <w:tblW w:w="0" w:type="auto"/>
        <w:tblLook w:val="04A0" w:firstRow="1" w:lastRow="0" w:firstColumn="1" w:lastColumn="0" w:noHBand="0" w:noVBand="1"/>
      </w:tblPr>
      <w:tblGrid>
        <w:gridCol w:w="9631"/>
      </w:tblGrid>
      <w:tr w:rsidR="00CC0D6A" w:rsidRPr="003E244D" w14:paraId="3586252A" w14:textId="77777777" w:rsidTr="00E3507C">
        <w:tc>
          <w:tcPr>
            <w:tcW w:w="9631" w:type="dxa"/>
          </w:tcPr>
          <w:p w14:paraId="113F6F69" w14:textId="77777777" w:rsidR="001627DE" w:rsidRDefault="00312B1C" w:rsidP="006337E9">
            <w:pPr>
              <w:pStyle w:val="B1"/>
              <w:ind w:left="0" w:firstLine="0"/>
              <w:rPr>
                <w:sz w:val="16"/>
                <w:szCs w:val="16"/>
              </w:rPr>
            </w:pPr>
            <w:r w:rsidRPr="00312B1C">
              <w:rPr>
                <w:sz w:val="16"/>
                <w:szCs w:val="16"/>
              </w:rPr>
              <w:t>Background</w:t>
            </w:r>
          </w:p>
          <w:p w14:paraId="4F78FA56" w14:textId="1BCAC59C" w:rsidR="00312B1C" w:rsidRPr="00312B1C" w:rsidRDefault="00312B1C" w:rsidP="00312B1C">
            <w:pPr>
              <w:pStyle w:val="B1"/>
              <w:rPr>
                <w:sz w:val="16"/>
                <w:szCs w:val="16"/>
              </w:rPr>
            </w:pPr>
            <w:r>
              <w:rPr>
                <w:sz w:val="16"/>
                <w:szCs w:val="16"/>
              </w:rPr>
              <w:t>-</w:t>
            </w:r>
            <w:r>
              <w:rPr>
                <w:sz w:val="16"/>
                <w:szCs w:val="16"/>
              </w:rPr>
              <w:tab/>
            </w:r>
            <w:r w:rsidRPr="00312B1C">
              <w:rPr>
                <w:sz w:val="16"/>
                <w:szCs w:val="16"/>
              </w:rPr>
              <w:t>Beam squint happens when DL BM reference signals and UL/DL control and/or data channels of interest are not within the same CC, see figure on right</w:t>
            </w:r>
          </w:p>
          <w:p w14:paraId="6F2896A5" w14:textId="035B4DB6" w:rsidR="00312B1C" w:rsidRPr="00312B1C" w:rsidRDefault="00312B1C" w:rsidP="00312B1C">
            <w:pPr>
              <w:pStyle w:val="B1"/>
              <w:rPr>
                <w:sz w:val="16"/>
                <w:szCs w:val="16"/>
              </w:rPr>
            </w:pPr>
            <w:r>
              <w:rPr>
                <w:sz w:val="16"/>
                <w:szCs w:val="16"/>
              </w:rPr>
              <w:t>-</w:t>
            </w:r>
            <w:r>
              <w:rPr>
                <w:sz w:val="16"/>
                <w:szCs w:val="16"/>
              </w:rPr>
              <w:tab/>
            </w:r>
            <w:r w:rsidRPr="00312B1C">
              <w:rPr>
                <w:sz w:val="16"/>
                <w:szCs w:val="16"/>
              </w:rPr>
              <w:t xml:space="preserve">Beam squint causes a received signal to have a frequency selective characteristic </w:t>
            </w:r>
          </w:p>
          <w:p w14:paraId="03283D3E" w14:textId="5F4B5FCC" w:rsidR="00312B1C" w:rsidRPr="00312B1C" w:rsidRDefault="00312B1C" w:rsidP="00312B1C">
            <w:pPr>
              <w:pStyle w:val="B1"/>
              <w:rPr>
                <w:sz w:val="16"/>
                <w:szCs w:val="16"/>
              </w:rPr>
            </w:pPr>
            <w:r>
              <w:rPr>
                <w:sz w:val="16"/>
                <w:szCs w:val="16"/>
              </w:rPr>
              <w:tab/>
              <w:t>-</w:t>
            </w:r>
            <w:r>
              <w:rPr>
                <w:sz w:val="16"/>
                <w:szCs w:val="16"/>
              </w:rPr>
              <w:tab/>
            </w:r>
            <w:r w:rsidRPr="00312B1C">
              <w:rPr>
                <w:sz w:val="16"/>
                <w:szCs w:val="16"/>
              </w:rPr>
              <w:t>It is a radiative-domain impairment</w:t>
            </w:r>
          </w:p>
          <w:p w14:paraId="39C22C65" w14:textId="69A709C5" w:rsidR="00312B1C" w:rsidRPr="00312B1C" w:rsidRDefault="00312B1C" w:rsidP="00312B1C">
            <w:pPr>
              <w:pStyle w:val="B1"/>
              <w:rPr>
                <w:sz w:val="16"/>
                <w:szCs w:val="16"/>
              </w:rPr>
            </w:pPr>
            <w:r>
              <w:rPr>
                <w:sz w:val="16"/>
                <w:szCs w:val="16"/>
              </w:rPr>
              <w:tab/>
              <w:t>-</w:t>
            </w:r>
            <w:r>
              <w:rPr>
                <w:sz w:val="16"/>
                <w:szCs w:val="16"/>
              </w:rPr>
              <w:tab/>
            </w:r>
            <w:r w:rsidRPr="00312B1C">
              <w:rPr>
                <w:sz w:val="16"/>
                <w:szCs w:val="16"/>
              </w:rPr>
              <w:t>It causes gain droop, like impairment caused by active circuitry in the conducted domain</w:t>
            </w:r>
          </w:p>
          <w:p w14:paraId="692DF35C" w14:textId="156BDA1D" w:rsidR="00312B1C" w:rsidRPr="00312B1C" w:rsidRDefault="00312B1C" w:rsidP="00312B1C">
            <w:pPr>
              <w:pStyle w:val="B1"/>
              <w:rPr>
                <w:sz w:val="16"/>
                <w:szCs w:val="16"/>
              </w:rPr>
            </w:pPr>
            <w:r>
              <w:rPr>
                <w:sz w:val="16"/>
                <w:szCs w:val="16"/>
              </w:rPr>
              <w:t>-</w:t>
            </w:r>
            <w:r>
              <w:rPr>
                <w:sz w:val="16"/>
                <w:szCs w:val="16"/>
              </w:rPr>
              <w:tab/>
            </w:r>
            <w:r w:rsidRPr="00312B1C">
              <w:rPr>
                <w:sz w:val="16"/>
                <w:szCs w:val="16"/>
              </w:rPr>
              <w:t>Problem statement: Given CC1 and CC2 separated by ∆f and assuming the UE uses the codebook entry optimized for CC1, what is the degradation of CC2 spherical coverage?</w:t>
            </w:r>
          </w:p>
          <w:p w14:paraId="22DE0B02" w14:textId="104D8344" w:rsidR="00312B1C" w:rsidRPr="00312B1C" w:rsidRDefault="00312B1C" w:rsidP="00312B1C">
            <w:pPr>
              <w:pStyle w:val="B1"/>
              <w:rPr>
                <w:sz w:val="16"/>
                <w:szCs w:val="16"/>
              </w:rPr>
            </w:pPr>
            <w:r>
              <w:rPr>
                <w:sz w:val="16"/>
                <w:szCs w:val="16"/>
              </w:rPr>
              <w:t>-</w:t>
            </w:r>
            <w:r>
              <w:rPr>
                <w:sz w:val="16"/>
                <w:szCs w:val="16"/>
              </w:rPr>
              <w:tab/>
            </w:r>
            <w:r w:rsidRPr="00312B1C">
              <w:rPr>
                <w:sz w:val="16"/>
                <w:szCs w:val="16"/>
              </w:rPr>
              <w:t xml:space="preserve">Factors that can cause beam squint to become significant (see R4-2002147, R4-2000012, R4-2000018, R4-2001065): </w:t>
            </w:r>
          </w:p>
          <w:p w14:paraId="3B59057F" w14:textId="482EC3A6" w:rsidR="00312B1C" w:rsidRPr="00312B1C" w:rsidRDefault="00312B1C" w:rsidP="00312B1C">
            <w:pPr>
              <w:pStyle w:val="B1"/>
              <w:rPr>
                <w:sz w:val="16"/>
                <w:szCs w:val="16"/>
              </w:rPr>
            </w:pPr>
            <w:r>
              <w:rPr>
                <w:sz w:val="16"/>
                <w:szCs w:val="16"/>
              </w:rPr>
              <w:tab/>
              <w:t>-</w:t>
            </w:r>
            <w:r>
              <w:rPr>
                <w:sz w:val="16"/>
                <w:szCs w:val="16"/>
              </w:rPr>
              <w:tab/>
            </w:r>
            <w:r w:rsidRPr="00312B1C">
              <w:rPr>
                <w:sz w:val="16"/>
                <w:szCs w:val="16"/>
              </w:rPr>
              <w:t xml:space="preserve">Practical FR2 devices that may use analog beam forming </w:t>
            </w:r>
          </w:p>
          <w:p w14:paraId="6134B4B3" w14:textId="4514A586" w:rsidR="00312B1C" w:rsidRPr="00312B1C" w:rsidRDefault="00312B1C" w:rsidP="00312B1C">
            <w:pPr>
              <w:pStyle w:val="B1"/>
              <w:rPr>
                <w:sz w:val="16"/>
                <w:szCs w:val="16"/>
              </w:rPr>
            </w:pPr>
            <w:r>
              <w:rPr>
                <w:sz w:val="16"/>
                <w:szCs w:val="16"/>
              </w:rPr>
              <w:tab/>
              <w:t>-</w:t>
            </w:r>
            <w:r>
              <w:rPr>
                <w:sz w:val="16"/>
                <w:szCs w:val="16"/>
              </w:rPr>
              <w:tab/>
            </w:r>
            <w:r w:rsidRPr="00312B1C">
              <w:rPr>
                <w:sz w:val="16"/>
                <w:szCs w:val="16"/>
              </w:rPr>
              <w:t>Signal has wide fractional BW (for example: = aggregated channel BW/ center frequency)</w:t>
            </w:r>
          </w:p>
          <w:p w14:paraId="38735EED" w14:textId="441EE6F0" w:rsidR="00312B1C" w:rsidRDefault="00312B1C" w:rsidP="00312B1C">
            <w:pPr>
              <w:pStyle w:val="B1"/>
              <w:rPr>
                <w:sz w:val="16"/>
                <w:szCs w:val="16"/>
              </w:rPr>
            </w:pPr>
            <w:r>
              <w:rPr>
                <w:sz w:val="16"/>
                <w:szCs w:val="16"/>
              </w:rPr>
              <w:tab/>
              <w:t>-</w:t>
            </w:r>
            <w:r>
              <w:rPr>
                <w:sz w:val="16"/>
                <w:szCs w:val="16"/>
              </w:rPr>
              <w:tab/>
            </w:r>
            <w:r w:rsidRPr="00312B1C">
              <w:rPr>
                <w:sz w:val="16"/>
                <w:szCs w:val="16"/>
              </w:rPr>
              <w:t>High–directivity beams (higher directivity beams may suffer more degradation)</w:t>
            </w:r>
          </w:p>
          <w:p w14:paraId="15105C4A" w14:textId="708E562F" w:rsidR="00312B1C" w:rsidRDefault="00312B1C" w:rsidP="00312B1C">
            <w:pPr>
              <w:pStyle w:val="B1"/>
              <w:rPr>
                <w:sz w:val="16"/>
                <w:szCs w:val="16"/>
              </w:rPr>
            </w:pPr>
            <w:r>
              <w:rPr>
                <w:sz w:val="16"/>
                <w:szCs w:val="16"/>
              </w:rPr>
              <w:tab/>
              <w:t>-</w:t>
            </w:r>
            <w:r>
              <w:rPr>
                <w:sz w:val="16"/>
                <w:szCs w:val="16"/>
              </w:rPr>
              <w:tab/>
            </w:r>
            <w:r w:rsidRPr="00312B1C">
              <w:rPr>
                <w:sz w:val="16"/>
                <w:szCs w:val="16"/>
              </w:rPr>
              <w:t>Practical implementation constraints</w:t>
            </w:r>
          </w:p>
          <w:p w14:paraId="06898547" w14:textId="77400258" w:rsidR="00312B1C" w:rsidRDefault="00312B1C" w:rsidP="00312B1C">
            <w:pPr>
              <w:pStyle w:val="B1"/>
              <w:ind w:left="0" w:firstLine="0"/>
              <w:rPr>
                <w:sz w:val="16"/>
                <w:szCs w:val="16"/>
              </w:rPr>
            </w:pPr>
            <w:r w:rsidRPr="00312B1C">
              <w:rPr>
                <w:noProof/>
                <w:sz w:val="16"/>
                <w:szCs w:val="16"/>
              </w:rPr>
              <w:drawing>
                <wp:inline distT="0" distB="0" distL="0" distR="0" wp14:anchorId="6DA6E154" wp14:editId="758D6059">
                  <wp:extent cx="3657600" cy="1909798"/>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7600" cy="1909798"/>
                          </a:xfrm>
                          <a:prstGeom prst="rect">
                            <a:avLst/>
                          </a:prstGeom>
                        </pic:spPr>
                      </pic:pic>
                    </a:graphicData>
                  </a:graphic>
                </wp:inline>
              </w:drawing>
            </w:r>
          </w:p>
          <w:p w14:paraId="70C7775A" w14:textId="2F3AB580" w:rsidR="00312B1C" w:rsidRDefault="00312B1C" w:rsidP="00312B1C">
            <w:pPr>
              <w:pStyle w:val="B1"/>
              <w:ind w:left="0" w:firstLine="0"/>
              <w:rPr>
                <w:sz w:val="16"/>
                <w:szCs w:val="16"/>
              </w:rPr>
            </w:pPr>
          </w:p>
          <w:p w14:paraId="7A51C870" w14:textId="0C10D5A2" w:rsidR="00312B1C" w:rsidRDefault="004067EE" w:rsidP="00312B1C">
            <w:pPr>
              <w:pStyle w:val="B1"/>
              <w:ind w:left="0" w:firstLine="0"/>
              <w:rPr>
                <w:sz w:val="16"/>
                <w:szCs w:val="16"/>
              </w:rPr>
            </w:pPr>
            <w:r w:rsidRPr="004067EE">
              <w:rPr>
                <w:sz w:val="16"/>
                <w:szCs w:val="16"/>
              </w:rPr>
              <w:t>WF on Beam Squint Analysis</w:t>
            </w:r>
          </w:p>
          <w:p w14:paraId="3D891B41" w14:textId="4544FBD4" w:rsidR="004067EE" w:rsidRPr="004067EE" w:rsidRDefault="004067EE" w:rsidP="004067EE">
            <w:pPr>
              <w:pStyle w:val="B1"/>
              <w:rPr>
                <w:sz w:val="16"/>
                <w:szCs w:val="16"/>
              </w:rPr>
            </w:pPr>
            <w:r>
              <w:rPr>
                <w:sz w:val="16"/>
                <w:szCs w:val="16"/>
              </w:rPr>
              <w:t>-</w:t>
            </w:r>
            <w:r>
              <w:rPr>
                <w:sz w:val="16"/>
                <w:szCs w:val="16"/>
              </w:rPr>
              <w:tab/>
            </w:r>
            <w:r w:rsidRPr="004067EE">
              <w:rPr>
                <w:sz w:val="16"/>
                <w:szCs w:val="16"/>
              </w:rPr>
              <w:t>For any FR2 UE power class of interest, companies are encouraged to:</w:t>
            </w:r>
          </w:p>
          <w:p w14:paraId="4FE755AB" w14:textId="6379D88A" w:rsidR="004067EE" w:rsidRPr="004067EE" w:rsidRDefault="004067EE" w:rsidP="004067EE">
            <w:pPr>
              <w:pStyle w:val="B1"/>
              <w:rPr>
                <w:sz w:val="16"/>
                <w:szCs w:val="16"/>
              </w:rPr>
            </w:pPr>
            <w:r>
              <w:rPr>
                <w:sz w:val="16"/>
                <w:szCs w:val="16"/>
              </w:rPr>
              <w:t>-</w:t>
            </w:r>
            <w:r>
              <w:rPr>
                <w:sz w:val="16"/>
                <w:szCs w:val="16"/>
              </w:rPr>
              <w:tab/>
            </w:r>
            <w:r w:rsidRPr="004067EE">
              <w:rPr>
                <w:sz w:val="16"/>
                <w:szCs w:val="16"/>
              </w:rPr>
              <w:t>Share estimated impact to RF performance. Some examples:</w:t>
            </w:r>
          </w:p>
          <w:p w14:paraId="78CE5EC7" w14:textId="28503C56" w:rsidR="004067EE" w:rsidRPr="004067EE" w:rsidRDefault="004067EE" w:rsidP="004067EE">
            <w:pPr>
              <w:pStyle w:val="B1"/>
              <w:rPr>
                <w:sz w:val="16"/>
                <w:szCs w:val="16"/>
              </w:rPr>
            </w:pPr>
            <w:r>
              <w:rPr>
                <w:sz w:val="16"/>
                <w:szCs w:val="16"/>
              </w:rPr>
              <w:t>-</w:t>
            </w:r>
            <w:r>
              <w:rPr>
                <w:sz w:val="16"/>
                <w:szCs w:val="16"/>
              </w:rPr>
              <w:tab/>
            </w:r>
            <w:r w:rsidRPr="004067EE">
              <w:rPr>
                <w:sz w:val="16"/>
                <w:szCs w:val="16"/>
              </w:rPr>
              <w:t>CA EIRP</w:t>
            </w:r>
          </w:p>
          <w:p w14:paraId="2016FA72" w14:textId="6AF11140" w:rsidR="004067EE" w:rsidRPr="004067EE" w:rsidRDefault="004067EE" w:rsidP="004067EE">
            <w:pPr>
              <w:pStyle w:val="B1"/>
              <w:rPr>
                <w:sz w:val="16"/>
                <w:szCs w:val="16"/>
              </w:rPr>
            </w:pPr>
            <w:r>
              <w:rPr>
                <w:sz w:val="16"/>
                <w:szCs w:val="16"/>
              </w:rPr>
              <w:t>-</w:t>
            </w:r>
            <w:r>
              <w:rPr>
                <w:sz w:val="16"/>
                <w:szCs w:val="16"/>
              </w:rPr>
              <w:tab/>
            </w:r>
            <w:r w:rsidRPr="004067EE">
              <w:rPr>
                <w:sz w:val="16"/>
                <w:szCs w:val="16"/>
              </w:rPr>
              <w:t>CA Refsens and spherical coverage EIS</w:t>
            </w:r>
          </w:p>
          <w:p w14:paraId="2C92AE86" w14:textId="690F903C" w:rsidR="004067EE" w:rsidRPr="004067EE" w:rsidRDefault="004067EE" w:rsidP="004067EE">
            <w:pPr>
              <w:pStyle w:val="B1"/>
              <w:rPr>
                <w:sz w:val="16"/>
                <w:szCs w:val="16"/>
              </w:rPr>
            </w:pPr>
            <w:r>
              <w:rPr>
                <w:sz w:val="16"/>
                <w:szCs w:val="16"/>
              </w:rPr>
              <w:t>-</w:t>
            </w:r>
            <w:r>
              <w:rPr>
                <w:sz w:val="16"/>
                <w:szCs w:val="16"/>
              </w:rPr>
              <w:tab/>
            </w:r>
            <w:r w:rsidRPr="004067EE">
              <w:rPr>
                <w:sz w:val="16"/>
                <w:szCs w:val="16"/>
              </w:rPr>
              <w:t>CA beam correspondence</w:t>
            </w:r>
          </w:p>
          <w:p w14:paraId="123E0C9F" w14:textId="1E775C7F" w:rsidR="004067EE" w:rsidRPr="004067EE" w:rsidRDefault="004067EE" w:rsidP="004067EE">
            <w:pPr>
              <w:pStyle w:val="B1"/>
              <w:rPr>
                <w:sz w:val="16"/>
                <w:szCs w:val="16"/>
              </w:rPr>
            </w:pPr>
            <w:r>
              <w:rPr>
                <w:sz w:val="16"/>
                <w:szCs w:val="16"/>
              </w:rPr>
              <w:t>-</w:t>
            </w:r>
            <w:r>
              <w:rPr>
                <w:sz w:val="16"/>
                <w:szCs w:val="16"/>
              </w:rPr>
              <w:tab/>
            </w:r>
            <w:r w:rsidRPr="004067EE">
              <w:rPr>
                <w:sz w:val="16"/>
                <w:szCs w:val="16"/>
              </w:rPr>
              <w:t>Impact of closed loop power control on MPR</w:t>
            </w:r>
          </w:p>
          <w:p w14:paraId="7176DD3E" w14:textId="5BB150F4" w:rsidR="004067EE" w:rsidRPr="004067EE" w:rsidRDefault="004067EE" w:rsidP="004067EE">
            <w:pPr>
              <w:pStyle w:val="B1"/>
              <w:rPr>
                <w:sz w:val="16"/>
                <w:szCs w:val="16"/>
              </w:rPr>
            </w:pPr>
            <w:r>
              <w:rPr>
                <w:sz w:val="16"/>
                <w:szCs w:val="16"/>
              </w:rPr>
              <w:t>-</w:t>
            </w:r>
            <w:r>
              <w:rPr>
                <w:sz w:val="16"/>
                <w:szCs w:val="16"/>
              </w:rPr>
              <w:tab/>
            </w:r>
            <w:r w:rsidRPr="004067EE">
              <w:rPr>
                <w:sz w:val="16"/>
                <w:szCs w:val="16"/>
              </w:rPr>
              <w:t>Identify how to capture in standard</w:t>
            </w:r>
          </w:p>
          <w:p w14:paraId="7812772D" w14:textId="6A751711" w:rsidR="004067EE" w:rsidRPr="004067EE" w:rsidRDefault="004067EE" w:rsidP="004067EE">
            <w:pPr>
              <w:pStyle w:val="B1"/>
              <w:rPr>
                <w:sz w:val="16"/>
                <w:szCs w:val="16"/>
              </w:rPr>
            </w:pPr>
            <w:r>
              <w:rPr>
                <w:sz w:val="16"/>
                <w:szCs w:val="16"/>
              </w:rPr>
              <w:t>-</w:t>
            </w:r>
            <w:r>
              <w:rPr>
                <w:sz w:val="16"/>
                <w:szCs w:val="16"/>
              </w:rPr>
              <w:tab/>
            </w:r>
            <w:r w:rsidRPr="004067EE">
              <w:rPr>
                <w:sz w:val="16"/>
                <w:szCs w:val="16"/>
              </w:rPr>
              <w:t>Preserve backward compatibility with Rel-15</w:t>
            </w:r>
          </w:p>
          <w:p w14:paraId="7772E9AA" w14:textId="6B8DD2C9" w:rsidR="004067EE" w:rsidRPr="004067EE" w:rsidRDefault="004067EE" w:rsidP="004067EE">
            <w:pPr>
              <w:pStyle w:val="B1"/>
              <w:rPr>
                <w:sz w:val="16"/>
                <w:szCs w:val="16"/>
              </w:rPr>
            </w:pPr>
            <w:r>
              <w:rPr>
                <w:sz w:val="16"/>
                <w:szCs w:val="16"/>
              </w:rPr>
              <w:t>-</w:t>
            </w:r>
            <w:r>
              <w:rPr>
                <w:sz w:val="16"/>
                <w:szCs w:val="16"/>
              </w:rPr>
              <w:tab/>
            </w:r>
            <w:r w:rsidRPr="004067EE">
              <w:rPr>
                <w:sz w:val="16"/>
                <w:szCs w:val="16"/>
              </w:rPr>
              <w:t>Identify sub-sections that may be affected</w:t>
            </w:r>
          </w:p>
          <w:p w14:paraId="0E7B0364" w14:textId="3081D249" w:rsidR="004067EE" w:rsidRPr="004067EE" w:rsidRDefault="004067EE" w:rsidP="004067EE">
            <w:pPr>
              <w:pStyle w:val="B1"/>
              <w:rPr>
                <w:sz w:val="16"/>
                <w:szCs w:val="16"/>
              </w:rPr>
            </w:pPr>
            <w:r>
              <w:rPr>
                <w:sz w:val="16"/>
                <w:szCs w:val="16"/>
              </w:rPr>
              <w:t>-</w:t>
            </w:r>
            <w:r>
              <w:rPr>
                <w:sz w:val="16"/>
                <w:szCs w:val="16"/>
              </w:rPr>
              <w:tab/>
            </w:r>
            <w:r w:rsidRPr="004067EE">
              <w:rPr>
                <w:sz w:val="16"/>
                <w:szCs w:val="16"/>
              </w:rPr>
              <w:t xml:space="preserve">Identify parameters or methods to quantify effect, including dependencies. </w:t>
            </w:r>
          </w:p>
          <w:p w14:paraId="203DC4B5" w14:textId="15D5890E" w:rsidR="004067EE" w:rsidRPr="004067EE" w:rsidRDefault="004067EE" w:rsidP="004067EE">
            <w:pPr>
              <w:pStyle w:val="B1"/>
              <w:rPr>
                <w:sz w:val="16"/>
                <w:szCs w:val="16"/>
              </w:rPr>
            </w:pPr>
            <w:r>
              <w:rPr>
                <w:sz w:val="16"/>
                <w:szCs w:val="16"/>
              </w:rPr>
              <w:t>-</w:t>
            </w:r>
            <w:r>
              <w:rPr>
                <w:sz w:val="16"/>
                <w:szCs w:val="16"/>
              </w:rPr>
              <w:tab/>
            </w:r>
            <w:r w:rsidRPr="004067EE">
              <w:rPr>
                <w:sz w:val="16"/>
                <w:szCs w:val="16"/>
              </w:rPr>
              <w:t>For example of dependency, in intra-band CA case: frequency separation</w:t>
            </w:r>
          </w:p>
          <w:p w14:paraId="05A7623B" w14:textId="251941A8" w:rsidR="004067EE" w:rsidRDefault="004067EE" w:rsidP="004067EE">
            <w:pPr>
              <w:pStyle w:val="B1"/>
              <w:rPr>
                <w:sz w:val="16"/>
                <w:szCs w:val="16"/>
              </w:rPr>
            </w:pPr>
            <w:r>
              <w:rPr>
                <w:sz w:val="16"/>
                <w:szCs w:val="16"/>
              </w:rPr>
              <w:t>-</w:t>
            </w:r>
            <w:r>
              <w:rPr>
                <w:sz w:val="16"/>
                <w:szCs w:val="16"/>
              </w:rPr>
              <w:tab/>
            </w:r>
            <w:r w:rsidRPr="004067EE">
              <w:rPr>
                <w:sz w:val="16"/>
                <w:szCs w:val="16"/>
              </w:rPr>
              <w:t xml:space="preserve">For LB+LB/HB+HB inter-band CA: frequency separation </w:t>
            </w:r>
          </w:p>
          <w:p w14:paraId="07287110" w14:textId="15DA7CC8" w:rsidR="00312B1C" w:rsidRPr="001627DE" w:rsidRDefault="004067EE" w:rsidP="004067EE">
            <w:pPr>
              <w:pStyle w:val="B1"/>
              <w:rPr>
                <w:sz w:val="16"/>
                <w:szCs w:val="16"/>
              </w:rPr>
            </w:pPr>
            <w:r>
              <w:rPr>
                <w:sz w:val="16"/>
                <w:szCs w:val="16"/>
              </w:rPr>
              <w:t>-</w:t>
            </w:r>
            <w:r>
              <w:rPr>
                <w:sz w:val="16"/>
                <w:szCs w:val="16"/>
              </w:rPr>
              <w:tab/>
            </w:r>
            <w:r w:rsidRPr="004067EE">
              <w:rPr>
                <w:sz w:val="16"/>
                <w:szCs w:val="16"/>
              </w:rPr>
              <w:t>Side conditions, like location of beam-management reference signals in relation to CA configuration</w:t>
            </w:r>
          </w:p>
        </w:tc>
      </w:tr>
    </w:tbl>
    <w:p w14:paraId="013BB264" w14:textId="6A37535C" w:rsidR="00CC0D6A" w:rsidRDefault="00CC0D6A" w:rsidP="008E7986"/>
    <w:p w14:paraId="7D729FEB" w14:textId="0D9E5A59" w:rsidR="00E066F0" w:rsidRPr="003E244D" w:rsidRDefault="00654AC5" w:rsidP="00E066F0">
      <w:r w:rsidRPr="003E244D">
        <w:t xml:space="preserve">In this contribution we address the </w:t>
      </w:r>
      <w:r w:rsidR="004067EE">
        <w:t>impact of this degradation mechanism on beam correspondence and EIS spherical coverage.</w:t>
      </w:r>
    </w:p>
    <w:p w14:paraId="3A67921B" w14:textId="06554855" w:rsidR="008E7986" w:rsidRPr="003E244D" w:rsidRDefault="008E7986" w:rsidP="008E7986">
      <w:pPr>
        <w:pStyle w:val="Heading1"/>
        <w:rPr>
          <w:lang w:val="en-US"/>
        </w:rPr>
      </w:pPr>
      <w:r w:rsidRPr="003E244D">
        <w:rPr>
          <w:lang w:val="en-US"/>
        </w:rPr>
        <w:t>2</w:t>
      </w:r>
      <w:r w:rsidRPr="003E244D">
        <w:rPr>
          <w:lang w:val="en-US"/>
        </w:rPr>
        <w:tab/>
      </w:r>
      <w:r w:rsidR="00E024C7" w:rsidRPr="003E244D">
        <w:rPr>
          <w:lang w:val="en-US"/>
        </w:rPr>
        <w:t>Discussion</w:t>
      </w:r>
    </w:p>
    <w:p w14:paraId="374BC358" w14:textId="4D174B58" w:rsidR="00F731CE" w:rsidRDefault="00C91EF9" w:rsidP="00F731CE">
      <w:r w:rsidRPr="003E244D">
        <w:t>In Rel-16 the FR2 DL CA feature is enhanced beyond the Rel-15 limitation of 800 MHz contiguous aggregate BW and 1400 MHz non-contiguous frequency separation up to 1400 MHz contiguous aggregate BW and 2400 MHz non-</w:t>
      </w:r>
      <w:r w:rsidRPr="003E244D">
        <w:lastRenderedPageBreak/>
        <w:t>contiguous frequency separation.  In addition, as</w:t>
      </w:r>
      <w:r w:rsidR="00FB140E" w:rsidRPr="003E244D">
        <w:t xml:space="preserve"> discussed in </w:t>
      </w:r>
      <w:r w:rsidR="00FB140E" w:rsidRPr="003E244D">
        <w:fldChar w:fldCharType="begin"/>
      </w:r>
      <w:r w:rsidR="00FB140E" w:rsidRPr="003E244D">
        <w:instrText xml:space="preserve"> REF _Ref24050515 \r \h </w:instrText>
      </w:r>
      <w:r w:rsidR="00FB140E" w:rsidRPr="003E244D">
        <w:fldChar w:fldCharType="separate"/>
      </w:r>
      <w:r w:rsidR="007D734C">
        <w:t>[2]</w:t>
      </w:r>
      <w:r w:rsidR="00FB140E" w:rsidRPr="003E244D">
        <w:fldChar w:fldCharType="end"/>
      </w:r>
      <w:r w:rsidR="00FB140E" w:rsidRPr="003E244D">
        <w:t xml:space="preserve">, the </w:t>
      </w:r>
      <w:r w:rsidRPr="003E244D">
        <w:t>CA architecture for inter-band DL CA</w:t>
      </w:r>
      <w:r w:rsidR="000E75BE">
        <w:t xml:space="preserve"> configurations with n258+n261 or n258+n257</w:t>
      </w:r>
      <w:r w:rsidRPr="003E244D">
        <w:t xml:space="preserve"> shares common beam management for both bands, thereby increasing the total frequency span covered by the beam forming circuits up to 5250 MHz.  Following analogous arguments, inter-band DL CA </w:t>
      </w:r>
      <w:r w:rsidR="000E75BE">
        <w:t xml:space="preserve">configurations with </w:t>
      </w:r>
      <w:r w:rsidRPr="003E244D">
        <w:t>n260+n259 could potentially span 6500 MHz.</w:t>
      </w:r>
      <w:r w:rsidR="00612B14" w:rsidRPr="003E244D">
        <w:t xml:space="preserve">  Table </w:t>
      </w:r>
      <w:r w:rsidR="000C3E1F" w:rsidRPr="003E244D">
        <w:t>1</w:t>
      </w:r>
      <w:r w:rsidR="00612B14" w:rsidRPr="003E244D">
        <w:t xml:space="preserve"> below summarizes the issue.</w:t>
      </w:r>
    </w:p>
    <w:p w14:paraId="1B1767DE" w14:textId="77777777" w:rsidR="000E75BE" w:rsidRPr="003E244D" w:rsidRDefault="000E75BE" w:rsidP="00F731CE"/>
    <w:p w14:paraId="696B38BD" w14:textId="0DF47E8D" w:rsidR="00C91EF9" w:rsidRPr="003E244D" w:rsidRDefault="000C3E1F" w:rsidP="00C91EF9">
      <w:pPr>
        <w:pStyle w:val="TH"/>
      </w:pPr>
      <w:r w:rsidRPr="003E244D">
        <w:t>Table 1</w:t>
      </w:r>
      <w:r w:rsidR="00C91EF9" w:rsidRPr="003E244D">
        <w:t>: Beam forming scenarios for carrier aggregation</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785"/>
        <w:gridCol w:w="3510"/>
      </w:tblGrid>
      <w:tr w:rsidR="00314EA5" w:rsidRPr="003E244D" w14:paraId="38A64208" w14:textId="77777777" w:rsidTr="00314EA5">
        <w:trPr>
          <w:trHeight w:val="20"/>
          <w:jc w:val="center"/>
        </w:trPr>
        <w:tc>
          <w:tcPr>
            <w:tcW w:w="1540" w:type="dxa"/>
            <w:shd w:val="clear" w:color="auto" w:fill="auto"/>
            <w:noWrap/>
            <w:vAlign w:val="bottom"/>
            <w:hideMark/>
          </w:tcPr>
          <w:p w14:paraId="516C8F4A" w14:textId="57270BBA" w:rsidR="00314EA5" w:rsidRPr="003E244D" w:rsidRDefault="00314EA5" w:rsidP="00E3507C">
            <w:pPr>
              <w:pStyle w:val="TAH"/>
            </w:pPr>
            <w:r w:rsidRPr="003E244D">
              <w:t>Frequency span (MHz)</w:t>
            </w:r>
          </w:p>
        </w:tc>
        <w:tc>
          <w:tcPr>
            <w:tcW w:w="1785" w:type="dxa"/>
            <w:shd w:val="clear" w:color="auto" w:fill="auto"/>
            <w:noWrap/>
            <w:vAlign w:val="bottom"/>
          </w:tcPr>
          <w:p w14:paraId="4CC1E18C" w14:textId="67BF63D7" w:rsidR="00314EA5" w:rsidRPr="003E244D" w:rsidRDefault="00314EA5" w:rsidP="00E3507C">
            <w:pPr>
              <w:pStyle w:val="TAH"/>
            </w:pPr>
            <w:r w:rsidRPr="003E244D">
              <w:t>Example DL CA configuration</w:t>
            </w:r>
          </w:p>
        </w:tc>
        <w:tc>
          <w:tcPr>
            <w:tcW w:w="3510" w:type="dxa"/>
            <w:shd w:val="clear" w:color="auto" w:fill="auto"/>
            <w:noWrap/>
            <w:vAlign w:val="bottom"/>
          </w:tcPr>
          <w:p w14:paraId="44F6A5A1" w14:textId="0D7960A9" w:rsidR="00314EA5" w:rsidRPr="003E244D" w:rsidRDefault="00314EA5" w:rsidP="00E3507C">
            <w:pPr>
              <w:pStyle w:val="TAH"/>
            </w:pPr>
            <w:r w:rsidRPr="003E244D">
              <w:t>Notes</w:t>
            </w:r>
          </w:p>
        </w:tc>
      </w:tr>
      <w:tr w:rsidR="000626DF" w:rsidRPr="003E244D" w14:paraId="55A2814C" w14:textId="77777777" w:rsidTr="00314EA5">
        <w:trPr>
          <w:trHeight w:val="20"/>
          <w:jc w:val="center"/>
        </w:trPr>
        <w:tc>
          <w:tcPr>
            <w:tcW w:w="1540" w:type="dxa"/>
            <w:shd w:val="clear" w:color="auto" w:fill="auto"/>
            <w:noWrap/>
            <w:vAlign w:val="bottom"/>
          </w:tcPr>
          <w:p w14:paraId="5D400EFC" w14:textId="294E9416" w:rsidR="000626DF" w:rsidRPr="003E244D" w:rsidRDefault="000626DF" w:rsidP="00E3507C">
            <w:pPr>
              <w:pStyle w:val="TAC"/>
            </w:pPr>
            <w:r w:rsidRPr="003E244D">
              <w:t>800</w:t>
            </w:r>
          </w:p>
        </w:tc>
        <w:tc>
          <w:tcPr>
            <w:tcW w:w="1785" w:type="dxa"/>
            <w:shd w:val="clear" w:color="auto" w:fill="auto"/>
            <w:noWrap/>
            <w:vAlign w:val="bottom"/>
          </w:tcPr>
          <w:p w14:paraId="7D8BD0D4" w14:textId="2EC8FC29" w:rsidR="000626DF" w:rsidRPr="003E244D" w:rsidRDefault="000626DF" w:rsidP="00E3507C">
            <w:pPr>
              <w:pStyle w:val="TAC"/>
            </w:pPr>
            <w:r w:rsidRPr="003E244D">
              <w:t>n260F</w:t>
            </w:r>
          </w:p>
        </w:tc>
        <w:tc>
          <w:tcPr>
            <w:tcW w:w="3510" w:type="dxa"/>
            <w:vMerge w:val="restart"/>
            <w:shd w:val="clear" w:color="auto" w:fill="auto"/>
            <w:noWrap/>
            <w:vAlign w:val="bottom"/>
          </w:tcPr>
          <w:p w14:paraId="77D75BCF" w14:textId="41B98C9C" w:rsidR="000626DF" w:rsidRPr="003E244D" w:rsidRDefault="000626DF" w:rsidP="005310AD">
            <w:pPr>
              <w:pStyle w:val="TAR"/>
            </w:pPr>
            <w:r w:rsidRPr="003E244D">
              <w:t xml:space="preserve"> “the same beam correspondence relationship for beam management is supported across CCs</w:t>
            </w:r>
            <w:r w:rsidR="00792798" w:rsidRPr="003E244D">
              <w:t xml:space="preserve"> in Rel-15 and no requirement is specified</w:t>
            </w:r>
            <w:r w:rsidRPr="003E244D">
              <w:t>”</w:t>
            </w:r>
            <w:r w:rsidR="00792798" w:rsidRPr="003E244D">
              <w:t xml:space="preserve"> </w:t>
            </w:r>
            <w:r w:rsidR="000E75BE">
              <w:t>[38.101-2]</w:t>
            </w:r>
          </w:p>
        </w:tc>
      </w:tr>
      <w:tr w:rsidR="000626DF" w:rsidRPr="003E244D" w14:paraId="600B9363" w14:textId="77777777" w:rsidTr="00314EA5">
        <w:trPr>
          <w:trHeight w:val="20"/>
          <w:jc w:val="center"/>
        </w:trPr>
        <w:tc>
          <w:tcPr>
            <w:tcW w:w="1540" w:type="dxa"/>
            <w:shd w:val="clear" w:color="auto" w:fill="auto"/>
            <w:noWrap/>
            <w:vAlign w:val="bottom"/>
          </w:tcPr>
          <w:p w14:paraId="56472C21" w14:textId="6F7E760D" w:rsidR="000626DF" w:rsidRPr="003E244D" w:rsidRDefault="000626DF" w:rsidP="00E3507C">
            <w:pPr>
              <w:pStyle w:val="TAC"/>
            </w:pPr>
            <w:r w:rsidRPr="003E244D">
              <w:t>1400</w:t>
            </w:r>
          </w:p>
        </w:tc>
        <w:tc>
          <w:tcPr>
            <w:tcW w:w="1785" w:type="dxa"/>
            <w:shd w:val="clear" w:color="auto" w:fill="auto"/>
            <w:noWrap/>
            <w:vAlign w:val="bottom"/>
          </w:tcPr>
          <w:p w14:paraId="0374E0EF" w14:textId="184E13C2" w:rsidR="000626DF" w:rsidRPr="003E244D" w:rsidRDefault="000626DF" w:rsidP="00E3507C">
            <w:pPr>
              <w:pStyle w:val="TAC"/>
            </w:pPr>
            <w:r w:rsidRPr="003E244D">
              <w:t>n260A-A</w:t>
            </w:r>
          </w:p>
        </w:tc>
        <w:tc>
          <w:tcPr>
            <w:tcW w:w="3510" w:type="dxa"/>
            <w:vMerge/>
            <w:shd w:val="clear" w:color="auto" w:fill="auto"/>
            <w:noWrap/>
            <w:vAlign w:val="bottom"/>
          </w:tcPr>
          <w:p w14:paraId="35E5D65D" w14:textId="14E0D1DC" w:rsidR="000626DF" w:rsidRPr="003E244D" w:rsidRDefault="000626DF" w:rsidP="005310AD">
            <w:pPr>
              <w:pStyle w:val="TAR"/>
            </w:pPr>
          </w:p>
        </w:tc>
      </w:tr>
      <w:tr w:rsidR="000A6C58" w:rsidRPr="003E244D" w14:paraId="235D069F" w14:textId="77777777" w:rsidTr="00314EA5">
        <w:trPr>
          <w:trHeight w:val="20"/>
          <w:jc w:val="center"/>
        </w:trPr>
        <w:tc>
          <w:tcPr>
            <w:tcW w:w="1540" w:type="dxa"/>
            <w:shd w:val="clear" w:color="auto" w:fill="auto"/>
            <w:noWrap/>
            <w:vAlign w:val="bottom"/>
          </w:tcPr>
          <w:p w14:paraId="2DB61763" w14:textId="0658B4F9" w:rsidR="000A6C58" w:rsidRPr="003E244D" w:rsidRDefault="000A6C58" w:rsidP="00E3507C">
            <w:pPr>
              <w:pStyle w:val="TAC"/>
            </w:pPr>
            <w:r w:rsidRPr="003E244D">
              <w:t>2400</w:t>
            </w:r>
          </w:p>
        </w:tc>
        <w:tc>
          <w:tcPr>
            <w:tcW w:w="1785" w:type="dxa"/>
            <w:shd w:val="clear" w:color="auto" w:fill="auto"/>
            <w:noWrap/>
            <w:vAlign w:val="bottom"/>
          </w:tcPr>
          <w:p w14:paraId="3DAC04A9" w14:textId="2A22F032" w:rsidR="000A6C58" w:rsidRPr="003E244D" w:rsidRDefault="000A6C58" w:rsidP="00E3507C">
            <w:pPr>
              <w:pStyle w:val="TAC"/>
            </w:pPr>
            <w:r w:rsidRPr="003E244D">
              <w:t>n260A-A</w:t>
            </w:r>
          </w:p>
        </w:tc>
        <w:tc>
          <w:tcPr>
            <w:tcW w:w="3510" w:type="dxa"/>
            <w:vMerge w:val="restart"/>
            <w:shd w:val="clear" w:color="auto" w:fill="auto"/>
            <w:noWrap/>
            <w:vAlign w:val="bottom"/>
          </w:tcPr>
          <w:p w14:paraId="0B3B9D1E" w14:textId="072C8A41" w:rsidR="000A6C58" w:rsidRPr="003E244D" w:rsidRDefault="000A6C58" w:rsidP="005310AD">
            <w:pPr>
              <w:pStyle w:val="TAR"/>
            </w:pPr>
            <w:r w:rsidRPr="003E244D">
              <w:t xml:space="preserve">Study needed to determine whether the Rel-15 requirement can be reused or </w:t>
            </w:r>
            <w:r w:rsidR="000750E1" w:rsidRPr="003E244D">
              <w:t xml:space="preserve">should be </w:t>
            </w:r>
            <w:r w:rsidRPr="003E244D">
              <w:t xml:space="preserve">updated to account for wider frequency span  </w:t>
            </w:r>
          </w:p>
        </w:tc>
      </w:tr>
      <w:tr w:rsidR="000A6C58" w:rsidRPr="003E244D" w14:paraId="195373D6" w14:textId="77777777" w:rsidTr="00314EA5">
        <w:trPr>
          <w:trHeight w:val="20"/>
          <w:jc w:val="center"/>
        </w:trPr>
        <w:tc>
          <w:tcPr>
            <w:tcW w:w="1540" w:type="dxa"/>
            <w:shd w:val="clear" w:color="auto" w:fill="auto"/>
            <w:noWrap/>
            <w:vAlign w:val="bottom"/>
          </w:tcPr>
          <w:p w14:paraId="5703962D" w14:textId="35E1A9F5" w:rsidR="000A6C58" w:rsidRPr="003E244D" w:rsidRDefault="000A6C58" w:rsidP="00E3507C">
            <w:pPr>
              <w:pStyle w:val="TAC"/>
            </w:pPr>
            <w:r w:rsidRPr="003E244D">
              <w:t>4100</w:t>
            </w:r>
          </w:p>
        </w:tc>
        <w:tc>
          <w:tcPr>
            <w:tcW w:w="1785" w:type="dxa"/>
            <w:shd w:val="clear" w:color="auto" w:fill="auto"/>
            <w:noWrap/>
            <w:vAlign w:val="bottom"/>
          </w:tcPr>
          <w:p w14:paraId="3FA52B18" w14:textId="68A72D8E" w:rsidR="000A6C58" w:rsidRPr="003E244D" w:rsidRDefault="000A6C58" w:rsidP="00E3507C">
            <w:pPr>
              <w:pStyle w:val="TAC"/>
            </w:pPr>
            <w:r w:rsidRPr="003E244D">
              <w:t>n258A_n261A</w:t>
            </w:r>
          </w:p>
        </w:tc>
        <w:tc>
          <w:tcPr>
            <w:tcW w:w="3510" w:type="dxa"/>
            <w:vMerge/>
            <w:shd w:val="clear" w:color="auto" w:fill="auto"/>
            <w:noWrap/>
            <w:vAlign w:val="bottom"/>
          </w:tcPr>
          <w:p w14:paraId="3E72FD07" w14:textId="77777777" w:rsidR="000A6C58" w:rsidRPr="003E244D" w:rsidRDefault="000A6C58" w:rsidP="00E3507C">
            <w:pPr>
              <w:pStyle w:val="TAC"/>
            </w:pPr>
          </w:p>
        </w:tc>
      </w:tr>
      <w:tr w:rsidR="000A6C58" w:rsidRPr="003E244D" w14:paraId="158E6733" w14:textId="77777777" w:rsidTr="00314EA5">
        <w:trPr>
          <w:trHeight w:val="20"/>
          <w:jc w:val="center"/>
        </w:trPr>
        <w:tc>
          <w:tcPr>
            <w:tcW w:w="1540" w:type="dxa"/>
            <w:shd w:val="clear" w:color="auto" w:fill="auto"/>
            <w:noWrap/>
            <w:vAlign w:val="bottom"/>
          </w:tcPr>
          <w:p w14:paraId="4F255F21" w14:textId="708B9FF6" w:rsidR="000A6C58" w:rsidRPr="003E244D" w:rsidRDefault="000A6C58" w:rsidP="00E3507C">
            <w:pPr>
              <w:pStyle w:val="TAC"/>
            </w:pPr>
            <w:r w:rsidRPr="003E244D">
              <w:t>5250</w:t>
            </w:r>
          </w:p>
        </w:tc>
        <w:tc>
          <w:tcPr>
            <w:tcW w:w="1785" w:type="dxa"/>
            <w:shd w:val="clear" w:color="auto" w:fill="auto"/>
            <w:noWrap/>
            <w:vAlign w:val="bottom"/>
          </w:tcPr>
          <w:p w14:paraId="67BF4802" w14:textId="616432C8" w:rsidR="000A6C58" w:rsidRPr="003E244D" w:rsidRDefault="000A6C58" w:rsidP="00E3507C">
            <w:pPr>
              <w:pStyle w:val="TAC"/>
            </w:pPr>
            <w:r w:rsidRPr="003E244D">
              <w:t>n258A_n257A</w:t>
            </w:r>
          </w:p>
        </w:tc>
        <w:tc>
          <w:tcPr>
            <w:tcW w:w="3510" w:type="dxa"/>
            <w:vMerge/>
            <w:shd w:val="clear" w:color="auto" w:fill="auto"/>
            <w:noWrap/>
            <w:vAlign w:val="bottom"/>
          </w:tcPr>
          <w:p w14:paraId="303A5875" w14:textId="77777777" w:rsidR="000A6C58" w:rsidRPr="003E244D" w:rsidRDefault="000A6C58" w:rsidP="00E3507C">
            <w:pPr>
              <w:pStyle w:val="TAC"/>
            </w:pPr>
          </w:p>
        </w:tc>
      </w:tr>
      <w:tr w:rsidR="000A6C58" w:rsidRPr="003E244D" w14:paraId="54755F9B" w14:textId="77777777" w:rsidTr="00314EA5">
        <w:trPr>
          <w:trHeight w:val="20"/>
          <w:jc w:val="center"/>
        </w:trPr>
        <w:tc>
          <w:tcPr>
            <w:tcW w:w="1540" w:type="dxa"/>
            <w:shd w:val="clear" w:color="auto" w:fill="auto"/>
            <w:noWrap/>
            <w:vAlign w:val="bottom"/>
          </w:tcPr>
          <w:p w14:paraId="1B3DA91B" w14:textId="5BFD082F" w:rsidR="000A6C58" w:rsidRPr="003E244D" w:rsidRDefault="000A6C58" w:rsidP="00E3507C">
            <w:pPr>
              <w:pStyle w:val="TAC"/>
            </w:pPr>
            <w:r w:rsidRPr="003E244D">
              <w:t>6500</w:t>
            </w:r>
          </w:p>
        </w:tc>
        <w:tc>
          <w:tcPr>
            <w:tcW w:w="1785" w:type="dxa"/>
            <w:shd w:val="clear" w:color="auto" w:fill="auto"/>
            <w:noWrap/>
            <w:vAlign w:val="bottom"/>
          </w:tcPr>
          <w:p w14:paraId="278D3BBD" w14:textId="4BA974D4" w:rsidR="000A6C58" w:rsidRPr="003E244D" w:rsidRDefault="000A6C58" w:rsidP="00E3507C">
            <w:pPr>
              <w:pStyle w:val="TAC"/>
            </w:pPr>
            <w:r w:rsidRPr="003E244D">
              <w:t>n260A_n259A</w:t>
            </w:r>
          </w:p>
        </w:tc>
        <w:tc>
          <w:tcPr>
            <w:tcW w:w="3510" w:type="dxa"/>
            <w:vMerge/>
            <w:shd w:val="clear" w:color="auto" w:fill="auto"/>
            <w:noWrap/>
            <w:vAlign w:val="bottom"/>
          </w:tcPr>
          <w:p w14:paraId="70398DB6" w14:textId="77777777" w:rsidR="000A6C58" w:rsidRPr="003E244D" w:rsidRDefault="000A6C58" w:rsidP="00E3507C">
            <w:pPr>
              <w:pStyle w:val="TAC"/>
            </w:pPr>
          </w:p>
        </w:tc>
      </w:tr>
    </w:tbl>
    <w:p w14:paraId="645F308D" w14:textId="77777777" w:rsidR="00C91EF9" w:rsidRPr="003E244D" w:rsidRDefault="00C91EF9" w:rsidP="00F731CE"/>
    <w:p w14:paraId="32D67C4C" w14:textId="79AEB708" w:rsidR="00C91EF9" w:rsidRDefault="000E75BE" w:rsidP="00F731CE">
      <w:r>
        <w:t xml:space="preserve">Further improving the </w:t>
      </w:r>
      <w:r w:rsidR="00A91F5B">
        <w:t>analysis</w:t>
      </w:r>
      <w:r>
        <w:t xml:space="preserve"> a</w:t>
      </w:r>
      <w:r w:rsidR="00136D01" w:rsidRPr="003E244D">
        <w:t xml:space="preserve">n investigation of this issue was performed with the simulation assumptions listed in Table </w:t>
      </w:r>
      <w:r w:rsidR="000C3E1F" w:rsidRPr="003E244D">
        <w:t>2</w:t>
      </w:r>
      <w:r w:rsidR="00136D01" w:rsidRPr="003E244D">
        <w:t xml:space="preserve"> below.</w:t>
      </w:r>
    </w:p>
    <w:p w14:paraId="35F39249" w14:textId="77777777" w:rsidR="000E75BE" w:rsidRPr="003E244D" w:rsidRDefault="000E75BE" w:rsidP="00F731CE"/>
    <w:p w14:paraId="1595493C" w14:textId="37A2DC28" w:rsidR="00136D01" w:rsidRPr="003E244D" w:rsidRDefault="00136D01" w:rsidP="00136D01">
      <w:pPr>
        <w:pStyle w:val="TH"/>
      </w:pPr>
      <w:r w:rsidRPr="003E244D">
        <w:t xml:space="preserve">Table </w:t>
      </w:r>
      <w:r w:rsidR="000C3E1F" w:rsidRPr="003E244D">
        <w:t>2</w:t>
      </w:r>
      <w:r w:rsidRPr="003E244D">
        <w:t xml:space="preserve">: </w:t>
      </w:r>
      <w:r w:rsidR="003C20DE" w:rsidRPr="003E244D">
        <w:t>Simulation assum</w:t>
      </w:r>
      <w:r w:rsidR="00BD5E10" w:rsidRPr="003E244D">
        <w:t>ptions for beam forming with CA</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785"/>
        <w:gridCol w:w="4590"/>
      </w:tblGrid>
      <w:tr w:rsidR="00136D01" w:rsidRPr="003E244D" w14:paraId="46003F06" w14:textId="40EAB7D1" w:rsidTr="00136D01">
        <w:trPr>
          <w:trHeight w:val="20"/>
          <w:jc w:val="center"/>
        </w:trPr>
        <w:tc>
          <w:tcPr>
            <w:tcW w:w="1540" w:type="dxa"/>
            <w:shd w:val="clear" w:color="auto" w:fill="auto"/>
            <w:noWrap/>
            <w:vAlign w:val="bottom"/>
          </w:tcPr>
          <w:p w14:paraId="1B2737C6" w14:textId="1FC70C86" w:rsidR="00136D01" w:rsidRPr="003E244D" w:rsidRDefault="00136D01" w:rsidP="00E3507C">
            <w:pPr>
              <w:pStyle w:val="TAH"/>
            </w:pPr>
            <w:r w:rsidRPr="003E244D">
              <w:t>Parameter</w:t>
            </w:r>
          </w:p>
        </w:tc>
        <w:tc>
          <w:tcPr>
            <w:tcW w:w="1785" w:type="dxa"/>
            <w:shd w:val="clear" w:color="auto" w:fill="auto"/>
            <w:noWrap/>
            <w:vAlign w:val="bottom"/>
          </w:tcPr>
          <w:p w14:paraId="4A936A84" w14:textId="32383670" w:rsidR="00136D01" w:rsidRPr="003E244D" w:rsidRDefault="00136D01" w:rsidP="00E3507C">
            <w:pPr>
              <w:pStyle w:val="TAH"/>
            </w:pPr>
            <w:r w:rsidRPr="003E244D">
              <w:t>Value</w:t>
            </w:r>
          </w:p>
        </w:tc>
        <w:tc>
          <w:tcPr>
            <w:tcW w:w="4590" w:type="dxa"/>
          </w:tcPr>
          <w:p w14:paraId="079A9875" w14:textId="74779CBC" w:rsidR="00136D01" w:rsidRPr="003E244D" w:rsidRDefault="00136D01" w:rsidP="00E3507C">
            <w:pPr>
              <w:pStyle w:val="TAH"/>
            </w:pPr>
            <w:r w:rsidRPr="003E244D">
              <w:t>Notes</w:t>
            </w:r>
          </w:p>
        </w:tc>
      </w:tr>
      <w:tr w:rsidR="00136D01" w:rsidRPr="003E244D" w14:paraId="6420BD9C" w14:textId="50D77793" w:rsidTr="00136D01">
        <w:trPr>
          <w:trHeight w:val="20"/>
          <w:jc w:val="center"/>
        </w:trPr>
        <w:tc>
          <w:tcPr>
            <w:tcW w:w="1540" w:type="dxa"/>
            <w:shd w:val="clear" w:color="auto" w:fill="auto"/>
            <w:noWrap/>
            <w:vAlign w:val="bottom"/>
          </w:tcPr>
          <w:p w14:paraId="127E9B3B" w14:textId="35F81AE2" w:rsidR="00136D01" w:rsidRPr="00540433" w:rsidRDefault="00136D01" w:rsidP="00540433">
            <w:pPr>
              <w:pStyle w:val="TAL"/>
            </w:pPr>
            <w:r w:rsidRPr="00540433">
              <w:t>Antenna array size</w:t>
            </w:r>
          </w:p>
        </w:tc>
        <w:tc>
          <w:tcPr>
            <w:tcW w:w="1785" w:type="dxa"/>
            <w:shd w:val="clear" w:color="auto" w:fill="auto"/>
            <w:noWrap/>
            <w:vAlign w:val="bottom"/>
          </w:tcPr>
          <w:p w14:paraId="1E15D5F1" w14:textId="79E8E45F" w:rsidR="00136D01" w:rsidRPr="00540433" w:rsidRDefault="00136D01" w:rsidP="00540433">
            <w:pPr>
              <w:pStyle w:val="TAR"/>
            </w:pPr>
            <w:r w:rsidRPr="00540433">
              <w:t>4x1</w:t>
            </w:r>
            <w:r w:rsidR="00DD33C5">
              <w:t>, 2x2</w:t>
            </w:r>
          </w:p>
        </w:tc>
        <w:tc>
          <w:tcPr>
            <w:tcW w:w="4590" w:type="dxa"/>
            <w:vAlign w:val="bottom"/>
          </w:tcPr>
          <w:p w14:paraId="75132FA5" w14:textId="40F03ACC" w:rsidR="00136D01" w:rsidRPr="00540433" w:rsidRDefault="00F25B0A" w:rsidP="00540433">
            <w:pPr>
              <w:pStyle w:val="TAR"/>
            </w:pPr>
            <w:r w:rsidRPr="00540433">
              <w:t>Assuming 2 panels (front &amp; back placement)</w:t>
            </w:r>
          </w:p>
        </w:tc>
      </w:tr>
      <w:tr w:rsidR="00136D01" w:rsidRPr="003E244D" w14:paraId="43C3D7D0" w14:textId="7C17C6B2" w:rsidTr="00136D01">
        <w:trPr>
          <w:trHeight w:val="20"/>
          <w:jc w:val="center"/>
        </w:trPr>
        <w:tc>
          <w:tcPr>
            <w:tcW w:w="1540" w:type="dxa"/>
            <w:shd w:val="clear" w:color="auto" w:fill="auto"/>
            <w:noWrap/>
            <w:vAlign w:val="bottom"/>
          </w:tcPr>
          <w:p w14:paraId="5716EA67" w14:textId="3840C508" w:rsidR="00136D01" w:rsidRPr="00540433" w:rsidRDefault="00136D01" w:rsidP="00540433">
            <w:pPr>
              <w:pStyle w:val="TAL"/>
            </w:pPr>
            <w:r w:rsidRPr="00540433">
              <w:t>Element spacing</w:t>
            </w:r>
          </w:p>
        </w:tc>
        <w:tc>
          <w:tcPr>
            <w:tcW w:w="1785" w:type="dxa"/>
            <w:shd w:val="clear" w:color="auto" w:fill="auto"/>
            <w:noWrap/>
            <w:vAlign w:val="bottom"/>
          </w:tcPr>
          <w:p w14:paraId="252B5E5E" w14:textId="27D3834C" w:rsidR="00136D01" w:rsidRPr="00540433" w:rsidRDefault="00136D01" w:rsidP="00540433">
            <w:pPr>
              <w:pStyle w:val="TAR"/>
            </w:pPr>
            <w:r w:rsidRPr="00540433">
              <w:t>5mm</w:t>
            </w:r>
          </w:p>
        </w:tc>
        <w:tc>
          <w:tcPr>
            <w:tcW w:w="4590" w:type="dxa"/>
            <w:vAlign w:val="bottom"/>
          </w:tcPr>
          <w:p w14:paraId="372EA150" w14:textId="11883ACE" w:rsidR="00136D01" w:rsidRPr="00540433" w:rsidRDefault="00136D01" w:rsidP="00540433">
            <w:pPr>
              <w:pStyle w:val="TAR"/>
            </w:pPr>
            <w:r w:rsidRPr="00540433">
              <w:t>Value is implementation specific but represents the worst case for beam angle</w:t>
            </w:r>
          </w:p>
        </w:tc>
      </w:tr>
      <w:tr w:rsidR="00136D01" w:rsidRPr="003E244D" w14:paraId="45286914" w14:textId="12EF3D47" w:rsidTr="00136D01">
        <w:trPr>
          <w:trHeight w:val="20"/>
          <w:jc w:val="center"/>
        </w:trPr>
        <w:tc>
          <w:tcPr>
            <w:tcW w:w="1540" w:type="dxa"/>
            <w:shd w:val="clear" w:color="auto" w:fill="auto"/>
            <w:noWrap/>
            <w:vAlign w:val="bottom"/>
          </w:tcPr>
          <w:p w14:paraId="4B3B2798" w14:textId="3B85F4DF" w:rsidR="00136D01" w:rsidRPr="00540433" w:rsidRDefault="00136D01" w:rsidP="00540433">
            <w:pPr>
              <w:pStyle w:val="TAL"/>
            </w:pPr>
            <w:r w:rsidRPr="00540433">
              <w:t>Element pattern</w:t>
            </w:r>
          </w:p>
        </w:tc>
        <w:tc>
          <w:tcPr>
            <w:tcW w:w="1785" w:type="dxa"/>
            <w:shd w:val="clear" w:color="auto" w:fill="auto"/>
            <w:noWrap/>
            <w:vAlign w:val="bottom"/>
          </w:tcPr>
          <w:p w14:paraId="376AD4AD" w14:textId="2A0F77FB" w:rsidR="00136D01" w:rsidRPr="00540433" w:rsidRDefault="00C10623" w:rsidP="00540433">
            <w:pPr>
              <w:pStyle w:val="TAR"/>
            </w:pPr>
            <w:r w:rsidRPr="00540433">
              <w:t>See TR38.803</w:t>
            </w:r>
          </w:p>
        </w:tc>
        <w:tc>
          <w:tcPr>
            <w:tcW w:w="4590" w:type="dxa"/>
            <w:vAlign w:val="bottom"/>
          </w:tcPr>
          <w:p w14:paraId="7F0E7DA5" w14:textId="77777777" w:rsidR="00136D01" w:rsidRPr="00540433" w:rsidRDefault="00136D01" w:rsidP="00540433">
            <w:pPr>
              <w:pStyle w:val="TAR"/>
            </w:pPr>
          </w:p>
        </w:tc>
      </w:tr>
      <w:tr w:rsidR="00136D01" w:rsidRPr="003E244D" w14:paraId="1D2A777A" w14:textId="69F70D43" w:rsidTr="00136D01">
        <w:trPr>
          <w:trHeight w:val="20"/>
          <w:jc w:val="center"/>
        </w:trPr>
        <w:tc>
          <w:tcPr>
            <w:tcW w:w="1540" w:type="dxa"/>
            <w:shd w:val="clear" w:color="auto" w:fill="auto"/>
            <w:noWrap/>
            <w:vAlign w:val="bottom"/>
          </w:tcPr>
          <w:p w14:paraId="3A53F736" w14:textId="36B72DC0" w:rsidR="00136D01" w:rsidRPr="00540433" w:rsidRDefault="00C10623" w:rsidP="00540433">
            <w:pPr>
              <w:pStyle w:val="TAL"/>
            </w:pPr>
            <w:r w:rsidRPr="00540433">
              <w:t>Antenna impairments</w:t>
            </w:r>
          </w:p>
        </w:tc>
        <w:tc>
          <w:tcPr>
            <w:tcW w:w="1785" w:type="dxa"/>
            <w:shd w:val="clear" w:color="auto" w:fill="auto"/>
            <w:noWrap/>
            <w:vAlign w:val="bottom"/>
          </w:tcPr>
          <w:p w14:paraId="423FAF61" w14:textId="7D96D6DD" w:rsidR="00136D01" w:rsidRPr="00540433" w:rsidRDefault="00C10623" w:rsidP="00540433">
            <w:pPr>
              <w:pStyle w:val="TAR"/>
            </w:pPr>
            <w:r w:rsidRPr="00540433">
              <w:t>Not considered</w:t>
            </w:r>
          </w:p>
        </w:tc>
        <w:tc>
          <w:tcPr>
            <w:tcW w:w="4590" w:type="dxa"/>
            <w:vAlign w:val="bottom"/>
          </w:tcPr>
          <w:p w14:paraId="45C4B9F4" w14:textId="5B0C884A" w:rsidR="00136D01" w:rsidRPr="00540433" w:rsidRDefault="00C10623" w:rsidP="00540433">
            <w:pPr>
              <w:pStyle w:val="TAR"/>
            </w:pPr>
            <w:r w:rsidRPr="00540433">
              <w:t>Antenna roll-off vs frequency was not considered in this analysis</w:t>
            </w:r>
          </w:p>
        </w:tc>
      </w:tr>
      <w:tr w:rsidR="00136D01" w:rsidRPr="003E244D" w14:paraId="751C4132" w14:textId="271E8DB9" w:rsidTr="00136D01">
        <w:trPr>
          <w:trHeight w:val="20"/>
          <w:jc w:val="center"/>
        </w:trPr>
        <w:tc>
          <w:tcPr>
            <w:tcW w:w="1540" w:type="dxa"/>
            <w:shd w:val="clear" w:color="auto" w:fill="auto"/>
            <w:noWrap/>
            <w:vAlign w:val="bottom"/>
          </w:tcPr>
          <w:p w14:paraId="013639CC" w14:textId="34F11C58" w:rsidR="00136D01" w:rsidRPr="00540433" w:rsidRDefault="00C10623" w:rsidP="00540433">
            <w:pPr>
              <w:pStyle w:val="TAL"/>
            </w:pPr>
            <w:r w:rsidRPr="00540433">
              <w:t>Phase shifter impairments</w:t>
            </w:r>
          </w:p>
        </w:tc>
        <w:tc>
          <w:tcPr>
            <w:tcW w:w="1785" w:type="dxa"/>
            <w:shd w:val="clear" w:color="auto" w:fill="auto"/>
            <w:noWrap/>
            <w:vAlign w:val="bottom"/>
          </w:tcPr>
          <w:p w14:paraId="1853FC9C" w14:textId="4A55AB3C" w:rsidR="00136D01" w:rsidRPr="00540433" w:rsidRDefault="00045B1A" w:rsidP="00540433">
            <w:pPr>
              <w:pStyle w:val="TAR"/>
            </w:pPr>
            <w:r w:rsidRPr="00540433">
              <w:t>See TR38.817-01</w:t>
            </w:r>
          </w:p>
        </w:tc>
        <w:tc>
          <w:tcPr>
            <w:tcW w:w="4590" w:type="dxa"/>
            <w:vAlign w:val="bottom"/>
          </w:tcPr>
          <w:p w14:paraId="5A2FC201" w14:textId="5382039D" w:rsidR="00136D01" w:rsidRPr="00540433" w:rsidRDefault="00045B1A" w:rsidP="00540433">
            <w:pPr>
              <w:pStyle w:val="TAR"/>
            </w:pPr>
            <w:r w:rsidRPr="00540433">
              <w:t>Reuse g</w:t>
            </w:r>
            <w:r w:rsidR="00C10623" w:rsidRPr="00540433">
              <w:t xml:space="preserve">ain variation and phase variation </w:t>
            </w:r>
            <w:r w:rsidRPr="00540433">
              <w:t>models from the Rel-15 beam correspondence study</w:t>
            </w:r>
          </w:p>
        </w:tc>
      </w:tr>
      <w:tr w:rsidR="00136D01" w:rsidRPr="003E244D" w14:paraId="0F1673E3" w14:textId="75328B5C" w:rsidTr="00136D01">
        <w:trPr>
          <w:trHeight w:val="20"/>
          <w:jc w:val="center"/>
        </w:trPr>
        <w:tc>
          <w:tcPr>
            <w:tcW w:w="1540" w:type="dxa"/>
            <w:shd w:val="clear" w:color="auto" w:fill="auto"/>
            <w:noWrap/>
            <w:vAlign w:val="bottom"/>
          </w:tcPr>
          <w:p w14:paraId="57FE021D" w14:textId="5ACDD51D" w:rsidR="00136D01" w:rsidRPr="00540433" w:rsidRDefault="00C10623" w:rsidP="00540433">
            <w:pPr>
              <w:pStyle w:val="TAL"/>
            </w:pPr>
            <w:r w:rsidRPr="00540433">
              <w:t>Transmission line impairments</w:t>
            </w:r>
          </w:p>
        </w:tc>
        <w:tc>
          <w:tcPr>
            <w:tcW w:w="1785" w:type="dxa"/>
            <w:shd w:val="clear" w:color="auto" w:fill="auto"/>
            <w:noWrap/>
            <w:vAlign w:val="bottom"/>
          </w:tcPr>
          <w:p w14:paraId="46A4028E" w14:textId="3BB84764" w:rsidR="00136D01" w:rsidRPr="00540433" w:rsidRDefault="00045B1A" w:rsidP="00540433">
            <w:pPr>
              <w:pStyle w:val="TAR"/>
            </w:pPr>
            <w:r w:rsidRPr="00540433">
              <w:t>Modeled TL length and loss per element</w:t>
            </w:r>
          </w:p>
        </w:tc>
        <w:tc>
          <w:tcPr>
            <w:tcW w:w="4590" w:type="dxa"/>
            <w:vAlign w:val="bottom"/>
          </w:tcPr>
          <w:p w14:paraId="2F1930F3" w14:textId="057FD3A9" w:rsidR="00136D01" w:rsidRPr="00540433" w:rsidRDefault="00045B1A" w:rsidP="00540433">
            <w:pPr>
              <w:pStyle w:val="TAR"/>
            </w:pPr>
            <w:r w:rsidRPr="00540433">
              <w:t>T</w:t>
            </w:r>
            <w:r w:rsidR="00C10623" w:rsidRPr="00540433">
              <w:t xml:space="preserve">ransmission line lengths </w:t>
            </w:r>
            <w:r w:rsidR="00715960" w:rsidRPr="00540433">
              <w:t>per</w:t>
            </w:r>
            <w:r w:rsidR="00C10623" w:rsidRPr="00540433">
              <w:t xml:space="preserve"> antenna element</w:t>
            </w:r>
            <w:r w:rsidR="00715960" w:rsidRPr="00540433">
              <w:t>, mismatch, and loss</w:t>
            </w:r>
          </w:p>
        </w:tc>
      </w:tr>
    </w:tbl>
    <w:p w14:paraId="56F12394" w14:textId="77777777" w:rsidR="00136D01" w:rsidRPr="003E244D" w:rsidRDefault="00136D01" w:rsidP="00F731CE"/>
    <w:p w14:paraId="49BF6BCA" w14:textId="01E3BD11" w:rsidR="00AE7CE8" w:rsidRDefault="00AE7CE8" w:rsidP="00F731CE">
      <w:r>
        <w:t>The simulation scenario has the following problem statement: a</w:t>
      </w:r>
      <w:r w:rsidRPr="00AE7CE8">
        <w:t xml:space="preserve">ssuming the UE uses the codebook </w:t>
      </w:r>
      <w:r w:rsidR="00A91F5B" w:rsidRPr="00AE7CE8">
        <w:t>entry,</w:t>
      </w:r>
      <w:r w:rsidRPr="00AE7CE8">
        <w:t xml:space="preserve"> optimized for CC1, what is the </w:t>
      </w:r>
      <w:r>
        <w:t xml:space="preserve">degradation of </w:t>
      </w:r>
      <w:r w:rsidRPr="00AE7CE8">
        <w:t>CC2 spherical coverage?</w:t>
      </w:r>
      <w:r>
        <w:t xml:space="preserve">  Figure 1 below illustrates the 50%-tile CDF gain loss for the </w:t>
      </w:r>
      <w:r w:rsidR="00C76940">
        <w:t xml:space="preserve">28 GHz (n258 intra-band and </w:t>
      </w:r>
      <w:r>
        <w:t>n258+n257</w:t>
      </w:r>
      <w:r w:rsidR="00C76940">
        <w:t>)</w:t>
      </w:r>
      <w:r>
        <w:t xml:space="preserve"> and </w:t>
      </w:r>
      <w:r w:rsidR="00C76940">
        <w:t xml:space="preserve">(n260 intra-band and </w:t>
      </w:r>
      <w:r>
        <w:t>n260+n259</w:t>
      </w:r>
      <w:r w:rsidR="00C76940">
        <w:t>)</w:t>
      </w:r>
      <w:r>
        <w:t xml:space="preserve"> scenarios, respectively.</w:t>
      </w:r>
      <w:r w:rsidR="00266A12">
        <w:t xml:space="preserve">  We note that in these simulations the codebook is optimized for CC1 placed at the left edge of the lowest-frequency band, and the placement of CC2 (to the right of CC1) is a swept parameter.  This represents the worst-case scenario, where the UE forms a beam based on measurements of CC1 and attempts to transmit </w:t>
      </w:r>
      <w:r w:rsidR="00AF0565">
        <w:t>on</w:t>
      </w:r>
      <w:r w:rsidR="00266A12">
        <w:t xml:space="preserve"> CC2 with the same beam.</w:t>
      </w:r>
    </w:p>
    <w:p w14:paraId="240E4DC8" w14:textId="77777777" w:rsidR="00266A12" w:rsidRDefault="00266A12" w:rsidP="00F731CE"/>
    <w:p w14:paraId="1BF677EB" w14:textId="6F05EF05" w:rsidR="00AE7CE8" w:rsidRDefault="00AE7CE8" w:rsidP="00AE7CE8">
      <w:pPr>
        <w:keepNext/>
        <w:rPr>
          <w:noProof/>
        </w:rPr>
      </w:pPr>
      <w:r w:rsidRPr="00AE7CE8">
        <w:rPr>
          <w:noProof/>
        </w:rPr>
        <w:lastRenderedPageBreak/>
        <w:t xml:space="preserve">  </w:t>
      </w:r>
      <w:r w:rsidR="007F1444" w:rsidRPr="007F1444">
        <w:rPr>
          <w:noProof/>
        </w:rPr>
        <w:drawing>
          <wp:inline distT="0" distB="0" distL="0" distR="0" wp14:anchorId="6B994EF4" wp14:editId="6038EFE7">
            <wp:extent cx="2971800" cy="222892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71800" cy="2228927"/>
                    </a:xfrm>
                    <a:prstGeom prst="rect">
                      <a:avLst/>
                    </a:prstGeom>
                  </pic:spPr>
                </pic:pic>
              </a:graphicData>
            </a:graphic>
          </wp:inline>
        </w:drawing>
      </w:r>
      <w:r w:rsidR="00A5038C" w:rsidRPr="00A5038C">
        <w:rPr>
          <w:noProof/>
        </w:rPr>
        <w:t xml:space="preserve"> </w:t>
      </w:r>
      <w:r w:rsidR="00A5038C" w:rsidRPr="00A5038C">
        <w:rPr>
          <w:noProof/>
        </w:rPr>
        <w:drawing>
          <wp:inline distT="0" distB="0" distL="0" distR="0" wp14:anchorId="3E67E0BF" wp14:editId="5DDB934F">
            <wp:extent cx="2971800" cy="22289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71800" cy="2228927"/>
                    </a:xfrm>
                    <a:prstGeom prst="rect">
                      <a:avLst/>
                    </a:prstGeom>
                  </pic:spPr>
                </pic:pic>
              </a:graphicData>
            </a:graphic>
          </wp:inline>
        </w:drawing>
      </w:r>
    </w:p>
    <w:p w14:paraId="452E5D1E" w14:textId="692540E5" w:rsidR="003E0925" w:rsidRDefault="003E0925" w:rsidP="00AE7CE8">
      <w:pPr>
        <w:keepNext/>
      </w:pPr>
      <w:r w:rsidRPr="003E0925">
        <w:rPr>
          <w:noProof/>
        </w:rPr>
        <w:drawing>
          <wp:inline distT="0" distB="0" distL="0" distR="0" wp14:anchorId="04B27655" wp14:editId="04E3AE77">
            <wp:extent cx="2971800" cy="22289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71800" cy="2228927"/>
                    </a:xfrm>
                    <a:prstGeom prst="rect">
                      <a:avLst/>
                    </a:prstGeom>
                  </pic:spPr>
                </pic:pic>
              </a:graphicData>
            </a:graphic>
          </wp:inline>
        </w:drawing>
      </w:r>
      <w:r w:rsidR="004613F4" w:rsidRPr="004613F4">
        <w:rPr>
          <w:noProof/>
        </w:rPr>
        <w:t xml:space="preserve"> </w:t>
      </w:r>
      <w:r w:rsidR="004613F4" w:rsidRPr="004613F4">
        <w:rPr>
          <w:noProof/>
        </w:rPr>
        <w:drawing>
          <wp:inline distT="0" distB="0" distL="0" distR="0" wp14:anchorId="2F3720DC" wp14:editId="01C1119B">
            <wp:extent cx="2971800" cy="222892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1800" cy="2228927"/>
                    </a:xfrm>
                    <a:prstGeom prst="rect">
                      <a:avLst/>
                    </a:prstGeom>
                  </pic:spPr>
                </pic:pic>
              </a:graphicData>
            </a:graphic>
          </wp:inline>
        </w:drawing>
      </w:r>
    </w:p>
    <w:p w14:paraId="75FCCA2A" w14:textId="7D4EE495" w:rsidR="00AE7CE8" w:rsidRDefault="00AE7CE8" w:rsidP="00AE7CE8">
      <w:pPr>
        <w:pStyle w:val="Caption"/>
        <w:jc w:val="center"/>
      </w:pPr>
      <w:r>
        <w:t xml:space="preserve">Figure </w:t>
      </w:r>
      <w:r>
        <w:fldChar w:fldCharType="begin"/>
      </w:r>
      <w:r>
        <w:instrText xml:space="preserve"> SEQ Figure \* ARABIC </w:instrText>
      </w:r>
      <w:r>
        <w:fldChar w:fldCharType="separate"/>
      </w:r>
      <w:r w:rsidR="007D734C">
        <w:rPr>
          <w:noProof/>
        </w:rPr>
        <w:t>1</w:t>
      </w:r>
      <w:r>
        <w:fldChar w:fldCharType="end"/>
      </w:r>
      <w:r>
        <w:t xml:space="preserve">: </w:t>
      </w:r>
      <w:r w:rsidR="0018232A">
        <w:t>Degradation in the 50%-tile CDF vs. frequency separation</w:t>
      </w:r>
    </w:p>
    <w:p w14:paraId="310712D9" w14:textId="77777777" w:rsidR="0018232A" w:rsidRPr="0018232A" w:rsidRDefault="0018232A" w:rsidP="0018232A"/>
    <w:p w14:paraId="1156DBFF" w14:textId="1A70C0D2" w:rsidR="0018232A" w:rsidRPr="003E244D" w:rsidRDefault="0018232A" w:rsidP="0018232A">
      <w:pPr>
        <w:pStyle w:val="Observation"/>
      </w:pPr>
      <w:bookmarkStart w:id="2" w:name="_Toc32324014"/>
      <w:bookmarkStart w:id="3" w:name="_Toc32566456"/>
      <w:bookmarkStart w:id="4" w:name="_Toc32566559"/>
      <w:bookmarkStart w:id="5" w:name="_Toc32566568"/>
      <w:bookmarkStart w:id="6" w:name="_Toc32581034"/>
      <w:bookmarkStart w:id="7" w:name="_Toc32581321"/>
      <w:bookmarkStart w:id="8" w:name="_Toc32581375"/>
      <w:bookmarkStart w:id="9" w:name="_Toc37413672"/>
      <w:bookmarkStart w:id="10" w:name="_Toc37413693"/>
      <w:bookmarkStart w:id="11" w:name="_Toc37413743"/>
      <w:r w:rsidRPr="003E244D">
        <w:t xml:space="preserve">Observation </w:t>
      </w:r>
      <w:r w:rsidR="000B5341">
        <w:t>1</w:t>
      </w:r>
      <w:r w:rsidRPr="003E244D">
        <w:t>:</w:t>
      </w:r>
      <w:r w:rsidRPr="003E244D">
        <w:tab/>
      </w:r>
      <w:r>
        <w:t>With increasing Fs, the phase of CC1 steering vector distorts the array response of CC2, and best beam selection optimized for CC1 degrades CC2 performance.</w:t>
      </w:r>
      <w:bookmarkEnd w:id="2"/>
      <w:bookmarkEnd w:id="3"/>
      <w:bookmarkEnd w:id="4"/>
      <w:bookmarkEnd w:id="5"/>
      <w:bookmarkEnd w:id="6"/>
      <w:bookmarkEnd w:id="7"/>
      <w:bookmarkEnd w:id="8"/>
      <w:bookmarkEnd w:id="9"/>
      <w:bookmarkEnd w:id="10"/>
      <w:bookmarkEnd w:id="11"/>
    </w:p>
    <w:p w14:paraId="1D7435AF" w14:textId="77777777" w:rsidR="0018232A" w:rsidRDefault="0018232A" w:rsidP="00F731CE"/>
    <w:p w14:paraId="130BF78E" w14:textId="31A44BBE" w:rsidR="0018232A" w:rsidRDefault="0018232A" w:rsidP="00F731CE">
      <w:r>
        <w:t>Th</w:t>
      </w:r>
      <w:r w:rsidR="00266A12">
        <w:t>e wideband beam degradation effect</w:t>
      </w:r>
      <w:r w:rsidR="00BA5A66">
        <w:t xml:space="preserve"> on uplink performance</w:t>
      </w:r>
      <w:r w:rsidR="00266A12">
        <w:t xml:space="preserve"> can be summarized in the following terms:</w:t>
      </w:r>
    </w:p>
    <w:p w14:paraId="7F6AC869" w14:textId="3B032981" w:rsidR="00266A12" w:rsidRDefault="00266A12" w:rsidP="00266A12">
      <w:pPr>
        <w:pStyle w:val="B1"/>
      </w:pPr>
      <w:r>
        <w:t>-</w:t>
      </w:r>
      <w:r>
        <w:tab/>
        <w:t>For UL intra-band non-contiguous CA with Fs ≤ 1400 the impact is</w:t>
      </w:r>
      <w:r w:rsidR="00BA5A66">
        <w:t xml:space="preserve"> &lt; 0.5 dB and can be captured as a degradation in the 50%-tile EIRP CDF performance for UEs which support bit-1 beam correspondence capability</w:t>
      </w:r>
      <w:r w:rsidR="000900A3">
        <w:t>.</w:t>
      </w:r>
    </w:p>
    <w:p w14:paraId="7BAA81AC" w14:textId="394D8BBB" w:rsidR="000900A3" w:rsidRDefault="00266A12" w:rsidP="00BA5A66">
      <w:pPr>
        <w:pStyle w:val="B1"/>
      </w:pPr>
      <w:r>
        <w:t>-</w:t>
      </w:r>
      <w:r>
        <w:tab/>
      </w:r>
      <w:r w:rsidR="00C579CC">
        <w:t>If a UE is configured and activated for inter-band</w:t>
      </w:r>
      <w:r w:rsidR="00BA5A66">
        <w:t xml:space="preserve"> DL CA between common band groups (e.g. 28 GHz + 28 GHz or 39 GHz + 39 GHz), a scenario can exist where the network employs a common beam for both bands, and the UE </w:t>
      </w:r>
      <w:r w:rsidR="00C579CC">
        <w:t>selects its UL beam on CC1 based on DL measurements made on CC2, where the frequency separation between CC1 and CC2 can be as lage as shown in Figure 1.  In this scenario, degradation in UL performance can be up to 1.8 dB and 2.6 dB, depending on the band group.</w:t>
      </w:r>
    </w:p>
    <w:p w14:paraId="75A26EFE" w14:textId="6DC1D231" w:rsidR="00C579CC" w:rsidRDefault="00C579CC" w:rsidP="00BA5A66">
      <w:pPr>
        <w:pStyle w:val="B1"/>
      </w:pPr>
      <w:r>
        <w:t>-</w:t>
      </w:r>
      <w:r>
        <w:tab/>
        <w:t>The impact of both of the above effects on transmit power control tolerance and TPC loop convergence is also recommended to be studied.</w:t>
      </w:r>
    </w:p>
    <w:p w14:paraId="3FA9A59A" w14:textId="64635BEF" w:rsidR="00CB6544" w:rsidRPr="00266A12" w:rsidRDefault="00CB6544" w:rsidP="00BA5A66">
      <w:pPr>
        <w:pStyle w:val="B1"/>
      </w:pPr>
      <w:r>
        <w:t>-</w:t>
      </w:r>
      <w:r>
        <w:tab/>
        <w:t>No impact on peak EIRP performance has been observed by this degradation mechanimsm</w:t>
      </w:r>
    </w:p>
    <w:p w14:paraId="718247AC" w14:textId="5DE8927F" w:rsidR="003C20DE" w:rsidRPr="003E244D" w:rsidRDefault="003C20DE" w:rsidP="00F731CE"/>
    <w:p w14:paraId="37767F7D" w14:textId="4CAA242A" w:rsidR="00CA5750" w:rsidRDefault="00CA5750" w:rsidP="00CA5750">
      <w:pPr>
        <w:pStyle w:val="Proposal"/>
      </w:pPr>
      <w:bookmarkStart w:id="12" w:name="_Toc24074408"/>
      <w:bookmarkStart w:id="13" w:name="_Toc24074425"/>
      <w:bookmarkStart w:id="14" w:name="_Toc24075737"/>
      <w:bookmarkStart w:id="15" w:name="_Toc24076869"/>
      <w:bookmarkStart w:id="16" w:name="_Toc24076933"/>
      <w:bookmarkStart w:id="17" w:name="_Toc24077724"/>
      <w:bookmarkStart w:id="18" w:name="_Toc24077798"/>
      <w:bookmarkStart w:id="19" w:name="_Toc32305159"/>
      <w:bookmarkStart w:id="20" w:name="_Toc32319026"/>
      <w:bookmarkStart w:id="21" w:name="_Toc32319463"/>
      <w:bookmarkStart w:id="22" w:name="_Toc32324017"/>
      <w:bookmarkStart w:id="23" w:name="_Toc32566459"/>
      <w:bookmarkStart w:id="24" w:name="_Toc32566562"/>
      <w:bookmarkStart w:id="25" w:name="_Toc32566571"/>
      <w:bookmarkStart w:id="26" w:name="_Toc32581037"/>
      <w:bookmarkStart w:id="27" w:name="_Toc32581324"/>
      <w:bookmarkStart w:id="28" w:name="_Toc32581378"/>
      <w:bookmarkStart w:id="29" w:name="_Toc37413673"/>
      <w:bookmarkStart w:id="30" w:name="_Toc37413694"/>
      <w:bookmarkStart w:id="31" w:name="_Toc37413744"/>
      <w:r w:rsidRPr="003E244D">
        <w:t xml:space="preserve">Proposal </w:t>
      </w:r>
      <w:r w:rsidR="000B5341">
        <w:t>1</w:t>
      </w:r>
      <w:r w:rsidRPr="003E244D">
        <w:t>:</w:t>
      </w:r>
      <w:r w:rsidRPr="003E244D">
        <w:tab/>
      </w:r>
      <w:r w:rsidR="00D8751E">
        <w:t>The Rel-16 requirement on beam correspondence for CA needs to be enhanced to include scope for UL intra-band non-contiguous CA</w:t>
      </w:r>
      <w:r w:rsidRPr="003E244D">
        <w: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A38D4FE" w14:textId="70D5DAF6" w:rsidR="00D8751E" w:rsidRDefault="00D8751E" w:rsidP="00D8751E">
      <w:pPr>
        <w:pStyle w:val="Proposal"/>
      </w:pPr>
      <w:bookmarkStart w:id="32" w:name="_Toc32324018"/>
      <w:bookmarkStart w:id="33" w:name="_Toc32566460"/>
      <w:bookmarkStart w:id="34" w:name="_Toc32566563"/>
      <w:bookmarkStart w:id="35" w:name="_Toc32566572"/>
      <w:bookmarkStart w:id="36" w:name="_Toc32581038"/>
      <w:bookmarkStart w:id="37" w:name="_Toc32581325"/>
      <w:bookmarkStart w:id="38" w:name="_Toc32581379"/>
      <w:bookmarkStart w:id="39" w:name="_Toc37413674"/>
      <w:bookmarkStart w:id="40" w:name="_Toc37413695"/>
      <w:bookmarkStart w:id="41" w:name="_Toc37413745"/>
      <w:r w:rsidRPr="003E244D">
        <w:t xml:space="preserve">Proposal </w:t>
      </w:r>
      <w:r w:rsidR="000B5341">
        <w:t>2</w:t>
      </w:r>
      <w:r w:rsidRPr="003E244D">
        <w:t>:</w:t>
      </w:r>
      <w:r w:rsidRPr="003E244D">
        <w:tab/>
      </w:r>
      <w:r w:rsidR="00C579CC">
        <w:t>Further discussion is needed whether Rel-15 beam correspondence for CA requirement on</w:t>
      </w:r>
      <w:r w:rsidRPr="00D8751E">
        <w:t xml:space="preserve"> UL intra-band non-contiguous CA with Fs ≤ 1400</w:t>
      </w:r>
      <w:r w:rsidR="00C579CC">
        <w:t xml:space="preserve"> </w:t>
      </w:r>
      <w:r>
        <w:t xml:space="preserve">can be </w:t>
      </w:r>
      <w:r w:rsidR="00C579CC">
        <w:t>relaxed</w:t>
      </w:r>
      <w:r>
        <w:t>.</w:t>
      </w:r>
      <w:bookmarkEnd w:id="32"/>
      <w:bookmarkEnd w:id="33"/>
      <w:bookmarkEnd w:id="34"/>
      <w:bookmarkEnd w:id="35"/>
      <w:bookmarkEnd w:id="36"/>
      <w:bookmarkEnd w:id="37"/>
      <w:bookmarkEnd w:id="38"/>
      <w:bookmarkEnd w:id="39"/>
      <w:bookmarkEnd w:id="40"/>
      <w:bookmarkEnd w:id="41"/>
    </w:p>
    <w:p w14:paraId="38EB437F" w14:textId="00A37FEA" w:rsidR="00D8751E" w:rsidRDefault="00D8751E" w:rsidP="00D8751E">
      <w:pPr>
        <w:pStyle w:val="Proposal"/>
      </w:pPr>
      <w:bookmarkStart w:id="42" w:name="_Toc32324019"/>
      <w:bookmarkStart w:id="43" w:name="_Toc32566461"/>
      <w:bookmarkStart w:id="44" w:name="_Toc32566564"/>
      <w:bookmarkStart w:id="45" w:name="_Toc32566573"/>
      <w:bookmarkStart w:id="46" w:name="_Toc32581039"/>
      <w:bookmarkStart w:id="47" w:name="_Toc32581326"/>
      <w:bookmarkStart w:id="48" w:name="_Toc32581380"/>
      <w:bookmarkStart w:id="49" w:name="_Toc37413675"/>
      <w:bookmarkStart w:id="50" w:name="_Toc37413696"/>
      <w:bookmarkStart w:id="51" w:name="_Toc37413746"/>
      <w:r w:rsidRPr="003E244D">
        <w:t xml:space="preserve">Proposal </w:t>
      </w:r>
      <w:r w:rsidR="000B5341">
        <w:t>3</w:t>
      </w:r>
      <w:r w:rsidRPr="003E244D">
        <w:t>:</w:t>
      </w:r>
      <w:r w:rsidRPr="003E244D">
        <w:tab/>
      </w:r>
      <w:bookmarkEnd w:id="42"/>
      <w:bookmarkEnd w:id="43"/>
      <w:bookmarkEnd w:id="44"/>
      <w:bookmarkEnd w:id="45"/>
      <w:bookmarkEnd w:id="46"/>
      <w:bookmarkEnd w:id="47"/>
      <w:bookmarkEnd w:id="48"/>
      <w:r w:rsidR="00C579CC">
        <w:t>Further study is needed to determine whether the following scenario is valid: a UE is configured and activated for inter-band DL CA between common band groups (e.g. 28 GHz + 28 GHz or 39 GHz + 39 GHz) needs to select the UL beam for a CC in one group based on DL measurements made in a CC of another group.</w:t>
      </w:r>
      <w:bookmarkEnd w:id="49"/>
      <w:bookmarkEnd w:id="50"/>
      <w:bookmarkEnd w:id="51"/>
    </w:p>
    <w:p w14:paraId="5787CE94" w14:textId="07F2BA63" w:rsidR="00C579CC" w:rsidRDefault="00C579CC" w:rsidP="00D8751E">
      <w:pPr>
        <w:pStyle w:val="Proposal"/>
      </w:pPr>
      <w:bookmarkStart w:id="52" w:name="_Toc37413676"/>
      <w:bookmarkStart w:id="53" w:name="_Toc37413697"/>
      <w:bookmarkStart w:id="54" w:name="_Toc37413747"/>
      <w:r>
        <w:t xml:space="preserve">Proposal </w:t>
      </w:r>
      <w:r w:rsidR="000B5341">
        <w:t>4</w:t>
      </w:r>
      <w:r>
        <w:t>:</w:t>
      </w:r>
      <w:r>
        <w:tab/>
      </w:r>
      <w:r w:rsidRPr="00C579CC">
        <w:t>The impact of both of the above effects on transmit power control tolerance and TPC loop convergence is also recommended to be studied.</w:t>
      </w:r>
      <w:bookmarkEnd w:id="52"/>
      <w:bookmarkEnd w:id="53"/>
      <w:bookmarkEnd w:id="54"/>
    </w:p>
    <w:p w14:paraId="3C1C77B5" w14:textId="77777777" w:rsidR="00C579CC" w:rsidRDefault="00C579CC" w:rsidP="00BA5A66"/>
    <w:p w14:paraId="212B4ABC" w14:textId="7B1CB62F" w:rsidR="00C579CC" w:rsidRDefault="00C579CC" w:rsidP="00C579CC">
      <w:r>
        <w:t>The wideband beam degradation effect on downlink performance can be summarized in the following terms:</w:t>
      </w:r>
    </w:p>
    <w:p w14:paraId="14DEC380" w14:textId="21916AD2" w:rsidR="00C579CC" w:rsidRDefault="00C579CC" w:rsidP="00C579CC">
      <w:pPr>
        <w:pStyle w:val="B1"/>
      </w:pPr>
      <w:r>
        <w:lastRenderedPageBreak/>
        <w:t>-</w:t>
      </w:r>
      <w:r>
        <w:tab/>
        <w:t>For DL intra-band non-contiguous CA with Fs ≤ 1400 the impact is &lt; 0.5 dB and can be captured as a degradation in the 50%-tile EIS CDF performance.</w:t>
      </w:r>
    </w:p>
    <w:p w14:paraId="62BBB601" w14:textId="7C25BC97" w:rsidR="00C579CC" w:rsidRDefault="00C579CC" w:rsidP="00C579CC">
      <w:pPr>
        <w:pStyle w:val="B1"/>
      </w:pPr>
      <w:r>
        <w:t>-</w:t>
      </w:r>
      <w:r>
        <w:tab/>
        <w:t>For DL intra-band non-contiguous CA with 1400 &lt; Fs ≤ 2400 MHz the impact is &lt; 0.6 dB.</w:t>
      </w:r>
    </w:p>
    <w:p w14:paraId="70A8ACD4" w14:textId="4A01953C" w:rsidR="00C579CC" w:rsidRDefault="00C579CC" w:rsidP="00C579CC">
      <w:pPr>
        <w:pStyle w:val="B1"/>
      </w:pPr>
      <w:r>
        <w:t>-</w:t>
      </w:r>
      <w:r>
        <w:tab/>
        <w:t>For DL inter-band CA within common band groups (e.g. 28 GHz + 28 GHz or 39 GHz + 39 GHz) the impact can be up to 1.8 or 2.6 dB, depending on the band group.</w:t>
      </w:r>
    </w:p>
    <w:p w14:paraId="39C6FCD5" w14:textId="55F07336" w:rsidR="00CB6544" w:rsidRDefault="00CB6544" w:rsidP="00CB6544">
      <w:pPr>
        <w:pStyle w:val="B1"/>
      </w:pPr>
      <w:r>
        <w:t>-</w:t>
      </w:r>
      <w:r>
        <w:tab/>
        <w:t>No impact on peak EIS performance has been observed by this degradation mechanimsm</w:t>
      </w:r>
    </w:p>
    <w:p w14:paraId="5CC25937" w14:textId="77777777" w:rsidR="00C579CC" w:rsidRDefault="00C579CC" w:rsidP="00C579CC"/>
    <w:p w14:paraId="73A94BC3" w14:textId="4424DF96" w:rsidR="00C579CC" w:rsidRDefault="00C579CC" w:rsidP="00C579CC">
      <w:pPr>
        <w:pStyle w:val="Proposal"/>
      </w:pPr>
      <w:bookmarkStart w:id="55" w:name="_Toc37413677"/>
      <w:bookmarkStart w:id="56" w:name="_Toc37413698"/>
      <w:bookmarkStart w:id="57" w:name="_Toc37413748"/>
      <w:r w:rsidRPr="003E244D">
        <w:t xml:space="preserve">Proposal </w:t>
      </w:r>
      <w:r w:rsidR="000B5341">
        <w:t>5</w:t>
      </w:r>
      <w:r w:rsidRPr="003E244D">
        <w:t>:</w:t>
      </w:r>
      <w:r w:rsidRPr="003E244D">
        <w:tab/>
      </w:r>
      <w:r>
        <w:t xml:space="preserve">Further discussion is needed whether relaxations </w:t>
      </w:r>
      <w:r w:rsidR="00CB6544">
        <w:t xml:space="preserve">on EIS spherical coverage </w:t>
      </w:r>
      <w:r>
        <w:t xml:space="preserve">for intra-band non-contiguous </w:t>
      </w:r>
      <w:r w:rsidR="00CB6544">
        <w:t>DL CA are needed</w:t>
      </w:r>
      <w:r>
        <w:t xml:space="preserve"> </w:t>
      </w:r>
      <w:r w:rsidR="00CB6544">
        <w:t>in Rel-16</w:t>
      </w:r>
      <w:r>
        <w:t>.</w:t>
      </w:r>
      <w:bookmarkEnd w:id="55"/>
      <w:bookmarkEnd w:id="56"/>
      <w:bookmarkEnd w:id="57"/>
    </w:p>
    <w:p w14:paraId="623636D2" w14:textId="4ECDE728" w:rsidR="00CB6544" w:rsidRDefault="00CB6544" w:rsidP="00CB6544">
      <w:pPr>
        <w:pStyle w:val="Proposal"/>
      </w:pPr>
      <w:bookmarkStart w:id="58" w:name="_Toc37413678"/>
      <w:bookmarkStart w:id="59" w:name="_Toc37413699"/>
      <w:bookmarkStart w:id="60" w:name="_Toc37413749"/>
      <w:r>
        <w:t xml:space="preserve">Proposal </w:t>
      </w:r>
      <w:r w:rsidR="000B5341">
        <w:t>6</w:t>
      </w:r>
      <w:r>
        <w:t>:</w:t>
      </w:r>
      <w:r>
        <w:tab/>
        <w:t>For inter-band DL CA within the 28 GHz band group, the impact on EIS spherical coverage is 1.8 dB</w:t>
      </w:r>
      <w:bookmarkEnd w:id="58"/>
      <w:bookmarkEnd w:id="59"/>
      <w:bookmarkEnd w:id="60"/>
    </w:p>
    <w:p w14:paraId="7CEDDAD3" w14:textId="7A8C15EB" w:rsidR="00CB6544" w:rsidRDefault="00CB6544" w:rsidP="00CB6544">
      <w:pPr>
        <w:pStyle w:val="Proposal"/>
      </w:pPr>
      <w:bookmarkStart w:id="61" w:name="_Toc37413679"/>
      <w:bookmarkStart w:id="62" w:name="_Toc37413700"/>
      <w:bookmarkStart w:id="63" w:name="_Toc37413750"/>
      <w:r>
        <w:t xml:space="preserve">Proposal </w:t>
      </w:r>
      <w:r w:rsidR="000B5341">
        <w:t>7</w:t>
      </w:r>
      <w:r>
        <w:t>:</w:t>
      </w:r>
      <w:r>
        <w:tab/>
        <w:t>For inter-band DL CA within the 39 GHz band group, the impact on EIS spherical coverage is 2.6 dB</w:t>
      </w:r>
      <w:bookmarkEnd w:id="61"/>
      <w:bookmarkEnd w:id="62"/>
      <w:bookmarkEnd w:id="63"/>
    </w:p>
    <w:p w14:paraId="34C99636" w14:textId="435599B8" w:rsidR="008E7986" w:rsidRPr="003E244D" w:rsidRDefault="008E7986" w:rsidP="008E7986">
      <w:pPr>
        <w:pStyle w:val="Heading1"/>
        <w:rPr>
          <w:lang w:val="en-US"/>
        </w:rPr>
      </w:pPr>
      <w:r w:rsidRPr="003E244D">
        <w:rPr>
          <w:lang w:val="en-US"/>
        </w:rPr>
        <w:t>3</w:t>
      </w:r>
      <w:r w:rsidRPr="003E244D">
        <w:rPr>
          <w:lang w:val="en-US"/>
        </w:rPr>
        <w:tab/>
        <w:t>Conclusions</w:t>
      </w:r>
    </w:p>
    <w:p w14:paraId="463B82DB" w14:textId="6A849824" w:rsidR="00E72ABE" w:rsidRDefault="006C3B9C" w:rsidP="00E72324">
      <w:r w:rsidRPr="003E244D">
        <w:t xml:space="preserve">This contribution has provided our views on the topic of </w:t>
      </w:r>
      <w:r w:rsidR="000B5341" w:rsidRPr="000B5341">
        <w:t xml:space="preserve">radiative degradation mechanisms for larger frequency separation </w:t>
      </w:r>
      <w:r w:rsidR="00F731CE" w:rsidRPr="003E244D">
        <w:t>and</w:t>
      </w:r>
      <w:r w:rsidRPr="003E244D">
        <w:t xml:space="preserve"> has made the following observations and proposals:</w:t>
      </w:r>
    </w:p>
    <w:p w14:paraId="7B28717C" w14:textId="77777777" w:rsidR="00D44418" w:rsidRPr="003E244D" w:rsidRDefault="00D44418" w:rsidP="00E72324"/>
    <w:p w14:paraId="2836F5E0" w14:textId="77777777" w:rsidR="007D734C" w:rsidRDefault="00D724FE">
      <w:pPr>
        <w:pStyle w:val="TOC1"/>
        <w:rPr>
          <w:rFonts w:asciiTheme="minorHAnsi" w:eastAsiaTheme="minorEastAsia" w:hAnsiTheme="minorHAnsi" w:cstheme="minorBidi"/>
          <w:b w:val="0"/>
          <w:bCs w:val="0"/>
          <w:noProof/>
          <w:sz w:val="24"/>
        </w:rPr>
      </w:pPr>
      <w:r w:rsidRPr="003E244D">
        <w:rPr>
          <w:rFonts w:asciiTheme="minorHAnsi" w:hAnsiTheme="minorHAnsi"/>
          <w:bCs w:val="0"/>
        </w:rPr>
        <w:fldChar w:fldCharType="begin"/>
      </w:r>
      <w:r w:rsidRPr="003E244D">
        <w:rPr>
          <w:rFonts w:asciiTheme="minorHAnsi" w:hAnsiTheme="minorHAnsi"/>
          <w:bCs w:val="0"/>
        </w:rPr>
        <w:instrText xml:space="preserve"> TOC \n \t "Observation,1" </w:instrText>
      </w:r>
      <w:r w:rsidRPr="003E244D">
        <w:rPr>
          <w:rFonts w:asciiTheme="minorHAnsi" w:hAnsiTheme="minorHAnsi"/>
          <w:bCs w:val="0"/>
        </w:rPr>
        <w:fldChar w:fldCharType="separate"/>
      </w:r>
      <w:r w:rsidR="007D734C">
        <w:rPr>
          <w:noProof/>
        </w:rPr>
        <w:t>Observation 1:</w:t>
      </w:r>
      <w:r w:rsidR="007D734C">
        <w:rPr>
          <w:rFonts w:asciiTheme="minorHAnsi" w:eastAsiaTheme="minorEastAsia" w:hAnsiTheme="minorHAnsi" w:cstheme="minorBidi"/>
          <w:b w:val="0"/>
          <w:bCs w:val="0"/>
          <w:noProof/>
          <w:sz w:val="24"/>
        </w:rPr>
        <w:tab/>
      </w:r>
      <w:r w:rsidR="007D734C">
        <w:rPr>
          <w:noProof/>
        </w:rPr>
        <w:t>With increasing Fs, the phase of CC1 steering vector distorts the array response of CC2, and best beam selection optimized for CC1 degrades CC2 performance.</w:t>
      </w:r>
    </w:p>
    <w:p w14:paraId="7C323C6A" w14:textId="081BA934" w:rsidR="00D724FE" w:rsidRPr="003E244D" w:rsidRDefault="00D724FE" w:rsidP="00D724FE">
      <w:r w:rsidRPr="003E244D">
        <w:rPr>
          <w:rFonts w:asciiTheme="minorHAnsi" w:hAnsiTheme="minorHAnsi"/>
          <w:bCs/>
        </w:rPr>
        <w:fldChar w:fldCharType="end"/>
      </w:r>
    </w:p>
    <w:p w14:paraId="5EEC90E5" w14:textId="77777777" w:rsidR="007D734C" w:rsidRDefault="0062595A">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7D734C">
        <w:rPr>
          <w:noProof/>
        </w:rPr>
        <w:t>Proposal 1:</w:t>
      </w:r>
      <w:r w:rsidR="007D734C">
        <w:rPr>
          <w:rFonts w:asciiTheme="minorHAnsi" w:eastAsiaTheme="minorEastAsia" w:hAnsiTheme="minorHAnsi" w:cstheme="minorBidi"/>
          <w:b w:val="0"/>
          <w:bCs w:val="0"/>
          <w:noProof/>
          <w:sz w:val="24"/>
        </w:rPr>
        <w:tab/>
      </w:r>
      <w:r w:rsidR="007D734C">
        <w:rPr>
          <w:noProof/>
        </w:rPr>
        <w:t>The Rel-16 requirement on beam correspondence for CA needs to be enhanced to include scope for UL intra-band non-contiguous CA.</w:t>
      </w:r>
    </w:p>
    <w:p w14:paraId="347F7F27" w14:textId="77777777" w:rsidR="007D734C" w:rsidRDefault="007D734C">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Further discussion is needed whether Rel-15 beam correspondence for CA requirement on UL intra-band non-contiguous CA with Fs ≤ 1400 can be relaxed.</w:t>
      </w:r>
    </w:p>
    <w:p w14:paraId="1A3DCC78" w14:textId="77777777" w:rsidR="007D734C" w:rsidRDefault="007D734C">
      <w:pPr>
        <w:pStyle w:val="TOC1"/>
        <w:rPr>
          <w:rFonts w:asciiTheme="minorHAnsi" w:eastAsiaTheme="minorEastAsia" w:hAnsiTheme="minorHAnsi" w:cstheme="minorBidi"/>
          <w:b w:val="0"/>
          <w:bCs w:val="0"/>
          <w:noProof/>
          <w:sz w:val="24"/>
        </w:rPr>
      </w:pPr>
      <w:r>
        <w:rPr>
          <w:noProof/>
        </w:rPr>
        <w:t>Proposal 3:</w:t>
      </w:r>
      <w:r>
        <w:rPr>
          <w:rFonts w:asciiTheme="minorHAnsi" w:eastAsiaTheme="minorEastAsia" w:hAnsiTheme="minorHAnsi" w:cstheme="minorBidi"/>
          <w:b w:val="0"/>
          <w:bCs w:val="0"/>
          <w:noProof/>
          <w:sz w:val="24"/>
        </w:rPr>
        <w:tab/>
      </w:r>
      <w:r>
        <w:rPr>
          <w:noProof/>
        </w:rPr>
        <w:t>Further study is needed to determine whether the following scenario is valid: a UE is configured and activated for inter-band DL CA between common band groups (e.g. 28 GHz + 28 GHz or 39 GHz + 39 GHz) needs to select the UL beam for a CC in one group based on DL measurements made in a CC of another group.</w:t>
      </w:r>
    </w:p>
    <w:p w14:paraId="4FD9CE24" w14:textId="77777777" w:rsidR="007D734C" w:rsidRDefault="007D734C">
      <w:pPr>
        <w:pStyle w:val="TOC1"/>
        <w:rPr>
          <w:rFonts w:asciiTheme="minorHAnsi" w:eastAsiaTheme="minorEastAsia" w:hAnsiTheme="minorHAnsi" w:cstheme="minorBidi"/>
          <w:b w:val="0"/>
          <w:bCs w:val="0"/>
          <w:noProof/>
          <w:sz w:val="24"/>
        </w:rPr>
      </w:pPr>
      <w:r>
        <w:rPr>
          <w:noProof/>
        </w:rPr>
        <w:t>Proposal 4:</w:t>
      </w:r>
      <w:r>
        <w:rPr>
          <w:rFonts w:asciiTheme="minorHAnsi" w:eastAsiaTheme="minorEastAsia" w:hAnsiTheme="minorHAnsi" w:cstheme="minorBidi"/>
          <w:b w:val="0"/>
          <w:bCs w:val="0"/>
          <w:noProof/>
          <w:sz w:val="24"/>
        </w:rPr>
        <w:tab/>
      </w:r>
      <w:r>
        <w:rPr>
          <w:noProof/>
        </w:rPr>
        <w:t>The impact of both of the above effects on transmit power control tolerance and TPC loop convergence is also recommended to be studied.</w:t>
      </w:r>
    </w:p>
    <w:p w14:paraId="71C61DE8" w14:textId="77777777" w:rsidR="007D734C" w:rsidRDefault="007D734C">
      <w:pPr>
        <w:pStyle w:val="TOC1"/>
        <w:rPr>
          <w:rFonts w:asciiTheme="minorHAnsi" w:eastAsiaTheme="minorEastAsia" w:hAnsiTheme="minorHAnsi" w:cstheme="minorBidi"/>
          <w:b w:val="0"/>
          <w:bCs w:val="0"/>
          <w:noProof/>
          <w:sz w:val="24"/>
        </w:rPr>
      </w:pPr>
      <w:r>
        <w:rPr>
          <w:noProof/>
        </w:rPr>
        <w:t>Proposal 5:</w:t>
      </w:r>
      <w:r>
        <w:rPr>
          <w:rFonts w:asciiTheme="minorHAnsi" w:eastAsiaTheme="minorEastAsia" w:hAnsiTheme="minorHAnsi" w:cstheme="minorBidi"/>
          <w:b w:val="0"/>
          <w:bCs w:val="0"/>
          <w:noProof/>
          <w:sz w:val="24"/>
        </w:rPr>
        <w:tab/>
      </w:r>
      <w:r>
        <w:rPr>
          <w:noProof/>
        </w:rPr>
        <w:t>Further discussion is needed whether relaxations on EIS spherical coverage for intra-band non-contiguous DL CA are needed in Rel-16.</w:t>
      </w:r>
    </w:p>
    <w:p w14:paraId="58763D86" w14:textId="77777777" w:rsidR="007D734C" w:rsidRDefault="007D734C">
      <w:pPr>
        <w:pStyle w:val="TOC1"/>
        <w:rPr>
          <w:rFonts w:asciiTheme="minorHAnsi" w:eastAsiaTheme="minorEastAsia" w:hAnsiTheme="minorHAnsi" w:cstheme="minorBidi"/>
          <w:b w:val="0"/>
          <w:bCs w:val="0"/>
          <w:noProof/>
          <w:sz w:val="24"/>
        </w:rPr>
      </w:pPr>
      <w:r>
        <w:rPr>
          <w:noProof/>
        </w:rPr>
        <w:t>Proposal 6:</w:t>
      </w:r>
      <w:r>
        <w:rPr>
          <w:rFonts w:asciiTheme="minorHAnsi" w:eastAsiaTheme="minorEastAsia" w:hAnsiTheme="minorHAnsi" w:cstheme="minorBidi"/>
          <w:b w:val="0"/>
          <w:bCs w:val="0"/>
          <w:noProof/>
          <w:sz w:val="24"/>
        </w:rPr>
        <w:tab/>
      </w:r>
      <w:r>
        <w:rPr>
          <w:noProof/>
        </w:rPr>
        <w:t>For inter-band DL CA within the 28 GHz band group, the impact on EIS spherical coverage is 1.8 dB</w:t>
      </w:r>
    </w:p>
    <w:p w14:paraId="4B231B6A" w14:textId="77777777" w:rsidR="007D734C" w:rsidRDefault="007D734C">
      <w:pPr>
        <w:pStyle w:val="TOC1"/>
        <w:rPr>
          <w:rFonts w:asciiTheme="minorHAnsi" w:eastAsiaTheme="minorEastAsia" w:hAnsiTheme="minorHAnsi" w:cstheme="minorBidi"/>
          <w:b w:val="0"/>
          <w:bCs w:val="0"/>
          <w:noProof/>
          <w:sz w:val="24"/>
        </w:rPr>
      </w:pPr>
      <w:r>
        <w:rPr>
          <w:noProof/>
        </w:rPr>
        <w:t>Proposal 7:</w:t>
      </w:r>
      <w:r>
        <w:rPr>
          <w:rFonts w:asciiTheme="minorHAnsi" w:eastAsiaTheme="minorEastAsia" w:hAnsiTheme="minorHAnsi" w:cstheme="minorBidi"/>
          <w:b w:val="0"/>
          <w:bCs w:val="0"/>
          <w:noProof/>
          <w:sz w:val="24"/>
        </w:rPr>
        <w:tab/>
      </w:r>
      <w:r>
        <w:rPr>
          <w:noProof/>
        </w:rPr>
        <w:t>For inter-band DL CA within the 39 GHz band group, the impact on EIS spherical coverage is 2.6 dB</w:t>
      </w:r>
    </w:p>
    <w:p w14:paraId="769CC3B8" w14:textId="0A4D9F7F" w:rsidR="0062595A" w:rsidRPr="003E244D" w:rsidRDefault="0062595A" w:rsidP="00E72324">
      <w:r w:rsidRPr="003E244D">
        <w:rPr>
          <w:b/>
          <w:bCs/>
        </w:rPr>
        <w:fldChar w:fldCharType="end"/>
      </w:r>
    </w:p>
    <w:p w14:paraId="05CC6F0A" w14:textId="6843FA18" w:rsidR="005E69AE" w:rsidRPr="003E244D" w:rsidRDefault="005E69AE" w:rsidP="0062595A"/>
    <w:p w14:paraId="5D2DDC34" w14:textId="77777777" w:rsidR="005E69AE" w:rsidRPr="003E244D" w:rsidRDefault="005E69AE" w:rsidP="005E69AE">
      <w:pPr>
        <w:pStyle w:val="Heading1"/>
        <w:rPr>
          <w:lang w:val="en-US"/>
        </w:rPr>
      </w:pPr>
      <w:r w:rsidRPr="003E244D">
        <w:rPr>
          <w:lang w:val="en-US"/>
        </w:rPr>
        <w:t>4</w:t>
      </w:r>
      <w:r w:rsidRPr="003E244D">
        <w:rPr>
          <w:lang w:val="en-US"/>
        </w:rPr>
        <w:tab/>
        <w:t>References</w:t>
      </w:r>
    </w:p>
    <w:p w14:paraId="39889BB5" w14:textId="77777777" w:rsidR="00774153" w:rsidRPr="003E244D" w:rsidRDefault="00774153" w:rsidP="00774153">
      <w:pPr>
        <w:pStyle w:val="EX"/>
        <w:numPr>
          <w:ilvl w:val="0"/>
          <w:numId w:val="5"/>
        </w:numPr>
      </w:pPr>
      <w:bookmarkStart w:id="64" w:name="_Ref16617333"/>
      <w:bookmarkStart w:id="65" w:name="_Ref24049351"/>
      <w:r w:rsidRPr="003E244D">
        <w:t>RP-190761, “NR RF requirements for FR2,”</w:t>
      </w:r>
      <w:bookmarkEnd w:id="64"/>
      <w:r w:rsidRPr="003E244D">
        <w:t xml:space="preserve"> Nokia, Nokia Shanghai Bell, 3GPP RAN #83, March 2019</w:t>
      </w:r>
      <w:bookmarkEnd w:id="65"/>
    </w:p>
    <w:p w14:paraId="43EAA5F7" w14:textId="438F257F" w:rsidR="007E1FDF" w:rsidRDefault="004C50BE" w:rsidP="00312B1C">
      <w:pPr>
        <w:pStyle w:val="EX"/>
        <w:numPr>
          <w:ilvl w:val="0"/>
          <w:numId w:val="5"/>
        </w:numPr>
      </w:pPr>
      <w:bookmarkStart w:id="66" w:name="_Ref24050515"/>
      <w:r w:rsidRPr="003E244D">
        <w:t>R4-1913540, “FR2 DL inter-band CA architecture considerations,” Apple Inc., 3GPP RAN4 #93, November 2019</w:t>
      </w:r>
      <w:bookmarkEnd w:id="0"/>
      <w:bookmarkEnd w:id="66"/>
    </w:p>
    <w:p w14:paraId="659E5E5D" w14:textId="131ABA48" w:rsidR="00312B1C" w:rsidRPr="003E244D" w:rsidRDefault="00312B1C" w:rsidP="00312B1C">
      <w:pPr>
        <w:pStyle w:val="EX"/>
        <w:numPr>
          <w:ilvl w:val="0"/>
          <w:numId w:val="5"/>
        </w:numPr>
      </w:pPr>
      <w:bookmarkStart w:id="67" w:name="_Ref37413760"/>
      <w:r w:rsidRPr="00312B1C">
        <w:t>R4-2002826</w:t>
      </w:r>
      <w:r>
        <w:t>, “</w:t>
      </w:r>
      <w:r w:rsidRPr="00312B1C">
        <w:t>WF on radiative degradation mechanisms for larger frequency separation</w:t>
      </w:r>
      <w:r>
        <w:t xml:space="preserve">,” </w:t>
      </w:r>
      <w:r w:rsidRPr="00312B1C">
        <w:t>Qualcomm</w:t>
      </w:r>
      <w:r>
        <w:t>, 3GPP RAN4 #94-e, February 2020</w:t>
      </w:r>
      <w:bookmarkEnd w:id="67"/>
    </w:p>
    <w:p w14:paraId="6322CC7D" w14:textId="77777777" w:rsidR="00103C69" w:rsidRPr="003E244D" w:rsidRDefault="00103C69">
      <w:pPr>
        <w:pStyle w:val="EX"/>
        <w:numPr>
          <w:ilvl w:val="0"/>
          <w:numId w:val="0"/>
        </w:numPr>
      </w:pPr>
    </w:p>
    <w:sectPr w:rsidR="00103C69" w:rsidRPr="003E244D" w:rsidSect="00114E2C">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55373" w14:textId="77777777" w:rsidR="00CF6000" w:rsidRDefault="00CF6000">
      <w:r>
        <w:separator/>
      </w:r>
    </w:p>
  </w:endnote>
  <w:endnote w:type="continuationSeparator" w:id="0">
    <w:p w14:paraId="60A492A0" w14:textId="77777777" w:rsidR="00CF6000" w:rsidRDefault="00CF6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3507C" w:rsidRDefault="00E3507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E3507C" w:rsidRDefault="00E3507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0150F" w14:textId="77777777" w:rsidR="00CF6000" w:rsidRDefault="00CF6000">
      <w:r>
        <w:separator/>
      </w:r>
    </w:p>
  </w:footnote>
  <w:footnote w:type="continuationSeparator" w:id="0">
    <w:p w14:paraId="1AB1765D" w14:textId="77777777" w:rsidR="00CF6000" w:rsidRDefault="00CF6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3507C" w:rsidRDefault="00E350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3507C" w:rsidRDefault="00E350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2278"/>
    <w:rsid w:val="00014AC8"/>
    <w:rsid w:val="00033397"/>
    <w:rsid w:val="00040095"/>
    <w:rsid w:val="00045B1A"/>
    <w:rsid w:val="0005148B"/>
    <w:rsid w:val="00051834"/>
    <w:rsid w:val="00054A22"/>
    <w:rsid w:val="00057447"/>
    <w:rsid w:val="00060F54"/>
    <w:rsid w:val="00062023"/>
    <w:rsid w:val="000626DF"/>
    <w:rsid w:val="000655A6"/>
    <w:rsid w:val="00070259"/>
    <w:rsid w:val="000750E1"/>
    <w:rsid w:val="00080512"/>
    <w:rsid w:val="000900A3"/>
    <w:rsid w:val="000A365D"/>
    <w:rsid w:val="000A68F3"/>
    <w:rsid w:val="000A6C58"/>
    <w:rsid w:val="000A7753"/>
    <w:rsid w:val="000B5341"/>
    <w:rsid w:val="000C3E1F"/>
    <w:rsid w:val="000C47C3"/>
    <w:rsid w:val="000D58AB"/>
    <w:rsid w:val="000D76CE"/>
    <w:rsid w:val="000E75BE"/>
    <w:rsid w:val="00103C69"/>
    <w:rsid w:val="00104BC6"/>
    <w:rsid w:val="00107048"/>
    <w:rsid w:val="001114F7"/>
    <w:rsid w:val="001133A5"/>
    <w:rsid w:val="00114E2C"/>
    <w:rsid w:val="001220CC"/>
    <w:rsid w:val="00133525"/>
    <w:rsid w:val="00136D01"/>
    <w:rsid w:val="001445D7"/>
    <w:rsid w:val="001627DE"/>
    <w:rsid w:val="00166C80"/>
    <w:rsid w:val="00167B4B"/>
    <w:rsid w:val="00172B21"/>
    <w:rsid w:val="0018232A"/>
    <w:rsid w:val="00197D2B"/>
    <w:rsid w:val="001A35C9"/>
    <w:rsid w:val="001A4C42"/>
    <w:rsid w:val="001C21C3"/>
    <w:rsid w:val="001C688A"/>
    <w:rsid w:val="001C79F8"/>
    <w:rsid w:val="001D02C2"/>
    <w:rsid w:val="001D6FAC"/>
    <w:rsid w:val="001E4E5D"/>
    <w:rsid w:val="001F0C1D"/>
    <w:rsid w:val="001F0F72"/>
    <w:rsid w:val="001F1132"/>
    <w:rsid w:val="001F168B"/>
    <w:rsid w:val="00221868"/>
    <w:rsid w:val="00223B85"/>
    <w:rsid w:val="0022470C"/>
    <w:rsid w:val="002327A9"/>
    <w:rsid w:val="002347A2"/>
    <w:rsid w:val="00236E2B"/>
    <w:rsid w:val="00245835"/>
    <w:rsid w:val="00247926"/>
    <w:rsid w:val="00251661"/>
    <w:rsid w:val="0025184C"/>
    <w:rsid w:val="00265653"/>
    <w:rsid w:val="00266A12"/>
    <w:rsid w:val="002675F0"/>
    <w:rsid w:val="0027462C"/>
    <w:rsid w:val="00276EE4"/>
    <w:rsid w:val="00284F86"/>
    <w:rsid w:val="00290446"/>
    <w:rsid w:val="00290BFF"/>
    <w:rsid w:val="002A6938"/>
    <w:rsid w:val="002B6339"/>
    <w:rsid w:val="002C04C0"/>
    <w:rsid w:val="002C0B6A"/>
    <w:rsid w:val="002E00EE"/>
    <w:rsid w:val="002F6EC7"/>
    <w:rsid w:val="00301F04"/>
    <w:rsid w:val="00312B1C"/>
    <w:rsid w:val="00314EA5"/>
    <w:rsid w:val="003172DC"/>
    <w:rsid w:val="00330763"/>
    <w:rsid w:val="00337522"/>
    <w:rsid w:val="0034052F"/>
    <w:rsid w:val="00342B76"/>
    <w:rsid w:val="00352736"/>
    <w:rsid w:val="0035462D"/>
    <w:rsid w:val="00362052"/>
    <w:rsid w:val="00362E0C"/>
    <w:rsid w:val="003765B8"/>
    <w:rsid w:val="00396F38"/>
    <w:rsid w:val="003A0483"/>
    <w:rsid w:val="003A61A9"/>
    <w:rsid w:val="003C20DE"/>
    <w:rsid w:val="003C3971"/>
    <w:rsid w:val="003C3BBC"/>
    <w:rsid w:val="003D6AF1"/>
    <w:rsid w:val="003E0925"/>
    <w:rsid w:val="003E244D"/>
    <w:rsid w:val="003E62EA"/>
    <w:rsid w:val="003E7753"/>
    <w:rsid w:val="00400DB6"/>
    <w:rsid w:val="004067EE"/>
    <w:rsid w:val="00421408"/>
    <w:rsid w:val="00423334"/>
    <w:rsid w:val="004345EC"/>
    <w:rsid w:val="00447588"/>
    <w:rsid w:val="00452D32"/>
    <w:rsid w:val="0045321B"/>
    <w:rsid w:val="004613F4"/>
    <w:rsid w:val="00465AB5"/>
    <w:rsid w:val="004814C2"/>
    <w:rsid w:val="004826A9"/>
    <w:rsid w:val="004C1601"/>
    <w:rsid w:val="004C50BE"/>
    <w:rsid w:val="004D3578"/>
    <w:rsid w:val="004D650E"/>
    <w:rsid w:val="004E213A"/>
    <w:rsid w:val="004E4063"/>
    <w:rsid w:val="004F0988"/>
    <w:rsid w:val="004F3340"/>
    <w:rsid w:val="004F3E3D"/>
    <w:rsid w:val="004F4BA2"/>
    <w:rsid w:val="004F6023"/>
    <w:rsid w:val="005310AD"/>
    <w:rsid w:val="0053388B"/>
    <w:rsid w:val="00535773"/>
    <w:rsid w:val="00540433"/>
    <w:rsid w:val="00543C32"/>
    <w:rsid w:val="00543E6C"/>
    <w:rsid w:val="00565087"/>
    <w:rsid w:val="00572E14"/>
    <w:rsid w:val="005738D7"/>
    <w:rsid w:val="00575F62"/>
    <w:rsid w:val="005973BE"/>
    <w:rsid w:val="005A5986"/>
    <w:rsid w:val="005C78F4"/>
    <w:rsid w:val="005D2E01"/>
    <w:rsid w:val="005D7526"/>
    <w:rsid w:val="005E69AE"/>
    <w:rsid w:val="005F42E3"/>
    <w:rsid w:val="00602AEA"/>
    <w:rsid w:val="00607E3C"/>
    <w:rsid w:val="00612B14"/>
    <w:rsid w:val="00614FDF"/>
    <w:rsid w:val="006246A7"/>
    <w:rsid w:val="0062595A"/>
    <w:rsid w:val="006321AD"/>
    <w:rsid w:val="006337E9"/>
    <w:rsid w:val="0063543D"/>
    <w:rsid w:val="00640B80"/>
    <w:rsid w:val="00647114"/>
    <w:rsid w:val="00654AC5"/>
    <w:rsid w:val="0068172C"/>
    <w:rsid w:val="006A0FE3"/>
    <w:rsid w:val="006A323F"/>
    <w:rsid w:val="006B30D0"/>
    <w:rsid w:val="006B444A"/>
    <w:rsid w:val="006C3B9C"/>
    <w:rsid w:val="006C3D95"/>
    <w:rsid w:val="006E49E6"/>
    <w:rsid w:val="006E5C86"/>
    <w:rsid w:val="006F1F0D"/>
    <w:rsid w:val="00703CAB"/>
    <w:rsid w:val="00712FC4"/>
    <w:rsid w:val="00713C44"/>
    <w:rsid w:val="00715960"/>
    <w:rsid w:val="0072603E"/>
    <w:rsid w:val="00734A5B"/>
    <w:rsid w:val="0074026F"/>
    <w:rsid w:val="007429F6"/>
    <w:rsid w:val="00744E76"/>
    <w:rsid w:val="00752198"/>
    <w:rsid w:val="00753881"/>
    <w:rsid w:val="00754E24"/>
    <w:rsid w:val="0076797D"/>
    <w:rsid w:val="00767B36"/>
    <w:rsid w:val="00774153"/>
    <w:rsid w:val="00774DA4"/>
    <w:rsid w:val="00777F7E"/>
    <w:rsid w:val="00781F0F"/>
    <w:rsid w:val="0078418F"/>
    <w:rsid w:val="00792798"/>
    <w:rsid w:val="007A451B"/>
    <w:rsid w:val="007A78C2"/>
    <w:rsid w:val="007B5F2D"/>
    <w:rsid w:val="007B600E"/>
    <w:rsid w:val="007B670C"/>
    <w:rsid w:val="007B77E2"/>
    <w:rsid w:val="007C4E4D"/>
    <w:rsid w:val="007D4A21"/>
    <w:rsid w:val="007D734C"/>
    <w:rsid w:val="007E1FDF"/>
    <w:rsid w:val="007E22B1"/>
    <w:rsid w:val="007E2512"/>
    <w:rsid w:val="007E4B54"/>
    <w:rsid w:val="007F0F4A"/>
    <w:rsid w:val="007F0F70"/>
    <w:rsid w:val="007F1444"/>
    <w:rsid w:val="008028A4"/>
    <w:rsid w:val="00820B25"/>
    <w:rsid w:val="00830747"/>
    <w:rsid w:val="00846EB2"/>
    <w:rsid w:val="0085728A"/>
    <w:rsid w:val="008624E8"/>
    <w:rsid w:val="00864F5A"/>
    <w:rsid w:val="00866F8F"/>
    <w:rsid w:val="008768CA"/>
    <w:rsid w:val="008825FE"/>
    <w:rsid w:val="008B78D0"/>
    <w:rsid w:val="008C384C"/>
    <w:rsid w:val="008E1B48"/>
    <w:rsid w:val="008E7986"/>
    <w:rsid w:val="008F61EB"/>
    <w:rsid w:val="0090166D"/>
    <w:rsid w:val="0090271F"/>
    <w:rsid w:val="00902E23"/>
    <w:rsid w:val="009114D7"/>
    <w:rsid w:val="0091348E"/>
    <w:rsid w:val="00917CCB"/>
    <w:rsid w:val="00926896"/>
    <w:rsid w:val="00942EC2"/>
    <w:rsid w:val="009454A7"/>
    <w:rsid w:val="009A2C55"/>
    <w:rsid w:val="009A7F0A"/>
    <w:rsid w:val="009F37B7"/>
    <w:rsid w:val="009F5E43"/>
    <w:rsid w:val="00A10F02"/>
    <w:rsid w:val="00A13331"/>
    <w:rsid w:val="00A164B4"/>
    <w:rsid w:val="00A201FB"/>
    <w:rsid w:val="00A20351"/>
    <w:rsid w:val="00A218EA"/>
    <w:rsid w:val="00A26956"/>
    <w:rsid w:val="00A27650"/>
    <w:rsid w:val="00A31C49"/>
    <w:rsid w:val="00A5038C"/>
    <w:rsid w:val="00A53724"/>
    <w:rsid w:val="00A602BD"/>
    <w:rsid w:val="00A61773"/>
    <w:rsid w:val="00A73129"/>
    <w:rsid w:val="00A81F5A"/>
    <w:rsid w:val="00A82346"/>
    <w:rsid w:val="00A91F5B"/>
    <w:rsid w:val="00A92BA1"/>
    <w:rsid w:val="00A93385"/>
    <w:rsid w:val="00AA37A7"/>
    <w:rsid w:val="00AB37E2"/>
    <w:rsid w:val="00AC6BC6"/>
    <w:rsid w:val="00AC7371"/>
    <w:rsid w:val="00AD3D1D"/>
    <w:rsid w:val="00AE00C8"/>
    <w:rsid w:val="00AE204E"/>
    <w:rsid w:val="00AE3797"/>
    <w:rsid w:val="00AE7CE8"/>
    <w:rsid w:val="00AF03C7"/>
    <w:rsid w:val="00AF0565"/>
    <w:rsid w:val="00B009DB"/>
    <w:rsid w:val="00B02A63"/>
    <w:rsid w:val="00B06267"/>
    <w:rsid w:val="00B070F5"/>
    <w:rsid w:val="00B15449"/>
    <w:rsid w:val="00B6199A"/>
    <w:rsid w:val="00B8624F"/>
    <w:rsid w:val="00B93086"/>
    <w:rsid w:val="00BA19ED"/>
    <w:rsid w:val="00BA300B"/>
    <w:rsid w:val="00BA4B8D"/>
    <w:rsid w:val="00BA5A66"/>
    <w:rsid w:val="00BB7BE7"/>
    <w:rsid w:val="00BC0F7D"/>
    <w:rsid w:val="00BC7FA1"/>
    <w:rsid w:val="00BD0602"/>
    <w:rsid w:val="00BD5E10"/>
    <w:rsid w:val="00BE3255"/>
    <w:rsid w:val="00BE3EBF"/>
    <w:rsid w:val="00BF128E"/>
    <w:rsid w:val="00C0300E"/>
    <w:rsid w:val="00C10623"/>
    <w:rsid w:val="00C1496A"/>
    <w:rsid w:val="00C2086E"/>
    <w:rsid w:val="00C263AE"/>
    <w:rsid w:val="00C311E4"/>
    <w:rsid w:val="00C33079"/>
    <w:rsid w:val="00C37672"/>
    <w:rsid w:val="00C45231"/>
    <w:rsid w:val="00C56B0D"/>
    <w:rsid w:val="00C579CC"/>
    <w:rsid w:val="00C61F87"/>
    <w:rsid w:val="00C72833"/>
    <w:rsid w:val="00C76940"/>
    <w:rsid w:val="00C77EA5"/>
    <w:rsid w:val="00C80F1D"/>
    <w:rsid w:val="00C91EF9"/>
    <w:rsid w:val="00C93F40"/>
    <w:rsid w:val="00CA0DA2"/>
    <w:rsid w:val="00CA3D0C"/>
    <w:rsid w:val="00CA5750"/>
    <w:rsid w:val="00CB6544"/>
    <w:rsid w:val="00CC0D6A"/>
    <w:rsid w:val="00CD0C7C"/>
    <w:rsid w:val="00CD47D7"/>
    <w:rsid w:val="00CD5FA3"/>
    <w:rsid w:val="00CD7ECA"/>
    <w:rsid w:val="00CE1377"/>
    <w:rsid w:val="00CE2522"/>
    <w:rsid w:val="00CF20E3"/>
    <w:rsid w:val="00CF42E1"/>
    <w:rsid w:val="00CF6000"/>
    <w:rsid w:val="00D2126E"/>
    <w:rsid w:val="00D309CC"/>
    <w:rsid w:val="00D32F03"/>
    <w:rsid w:val="00D336EF"/>
    <w:rsid w:val="00D44418"/>
    <w:rsid w:val="00D46431"/>
    <w:rsid w:val="00D56A52"/>
    <w:rsid w:val="00D57972"/>
    <w:rsid w:val="00D675A9"/>
    <w:rsid w:val="00D724FE"/>
    <w:rsid w:val="00D738D6"/>
    <w:rsid w:val="00D75169"/>
    <w:rsid w:val="00D75373"/>
    <w:rsid w:val="00D755EB"/>
    <w:rsid w:val="00D82051"/>
    <w:rsid w:val="00D8751E"/>
    <w:rsid w:val="00D87592"/>
    <w:rsid w:val="00D87C1E"/>
    <w:rsid w:val="00D87E00"/>
    <w:rsid w:val="00D9134D"/>
    <w:rsid w:val="00DA7A03"/>
    <w:rsid w:val="00DA7AB5"/>
    <w:rsid w:val="00DB1818"/>
    <w:rsid w:val="00DC309B"/>
    <w:rsid w:val="00DC329B"/>
    <w:rsid w:val="00DC4DA2"/>
    <w:rsid w:val="00DD33C5"/>
    <w:rsid w:val="00DD48D0"/>
    <w:rsid w:val="00DD4C17"/>
    <w:rsid w:val="00DF07C7"/>
    <w:rsid w:val="00DF2B1F"/>
    <w:rsid w:val="00DF6189"/>
    <w:rsid w:val="00DF62CD"/>
    <w:rsid w:val="00DF7B09"/>
    <w:rsid w:val="00E017F8"/>
    <w:rsid w:val="00E024C7"/>
    <w:rsid w:val="00E066F0"/>
    <w:rsid w:val="00E16509"/>
    <w:rsid w:val="00E22C63"/>
    <w:rsid w:val="00E3507C"/>
    <w:rsid w:val="00E441B7"/>
    <w:rsid w:val="00E44582"/>
    <w:rsid w:val="00E52814"/>
    <w:rsid w:val="00E55017"/>
    <w:rsid w:val="00E60B57"/>
    <w:rsid w:val="00E72324"/>
    <w:rsid w:val="00E72ABE"/>
    <w:rsid w:val="00E77645"/>
    <w:rsid w:val="00E92620"/>
    <w:rsid w:val="00E95242"/>
    <w:rsid w:val="00E963AF"/>
    <w:rsid w:val="00EB1D71"/>
    <w:rsid w:val="00EB3AE6"/>
    <w:rsid w:val="00EC2476"/>
    <w:rsid w:val="00EC4A25"/>
    <w:rsid w:val="00EC523E"/>
    <w:rsid w:val="00EC6DEF"/>
    <w:rsid w:val="00ED57CE"/>
    <w:rsid w:val="00EE005C"/>
    <w:rsid w:val="00EE5AA7"/>
    <w:rsid w:val="00EE696A"/>
    <w:rsid w:val="00EF0368"/>
    <w:rsid w:val="00EF084E"/>
    <w:rsid w:val="00F025A2"/>
    <w:rsid w:val="00F04712"/>
    <w:rsid w:val="00F21311"/>
    <w:rsid w:val="00F2275C"/>
    <w:rsid w:val="00F22EC7"/>
    <w:rsid w:val="00F25B0A"/>
    <w:rsid w:val="00F3058B"/>
    <w:rsid w:val="00F325C8"/>
    <w:rsid w:val="00F37886"/>
    <w:rsid w:val="00F412EA"/>
    <w:rsid w:val="00F45F2C"/>
    <w:rsid w:val="00F62AEB"/>
    <w:rsid w:val="00F653B8"/>
    <w:rsid w:val="00F703CE"/>
    <w:rsid w:val="00F70647"/>
    <w:rsid w:val="00F731CE"/>
    <w:rsid w:val="00F83FE1"/>
    <w:rsid w:val="00FA1266"/>
    <w:rsid w:val="00FA47C1"/>
    <w:rsid w:val="00FB140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48BDE-8BFE-7440-8518-3B90FAA53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146</TotalTime>
  <Pages>4</Pages>
  <Words>1468</Words>
  <Characters>8370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54</cp:revision>
  <cp:lastPrinted>2019-02-25T14:05:00Z</cp:lastPrinted>
  <dcterms:created xsi:type="dcterms:W3CDTF">2020-02-11T17:16:00Z</dcterms:created>
  <dcterms:modified xsi:type="dcterms:W3CDTF">2020-05-15T06:24:00Z</dcterms:modified>
  <cp:category/>
</cp:coreProperties>
</file>